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d"/>
        <w:bidiVisual/>
        <w:tblW w:w="8820" w:type="dxa"/>
        <w:tblLook w:val="01E0" w:firstRow="1" w:lastRow="1" w:firstColumn="1" w:lastColumn="1" w:noHBand="0" w:noVBand="0"/>
      </w:tblPr>
      <w:tblGrid>
        <w:gridCol w:w="743"/>
        <w:gridCol w:w="2506"/>
        <w:gridCol w:w="1800"/>
        <w:gridCol w:w="3771"/>
      </w:tblGrid>
      <w:tr w:rsidR="002914D6" w:rsidTr="00DA714E">
        <w:trPr>
          <w:trHeight w:val="295"/>
        </w:trPr>
        <w:tc>
          <w:tcPr>
            <w:tcW w:w="5049" w:type="dxa"/>
            <w:gridSpan w:val="3"/>
          </w:tcPr>
          <w:p w:rsidR="002914D6" w:rsidRDefault="002914D6">
            <w:pPr>
              <w:rPr>
                <w:rFonts w:ascii="Arial" w:hAnsi="Arial"/>
                <w:b/>
                <w:bCs/>
                <w:noProof w:val="0"/>
                <w:sz w:val="26"/>
                <w:szCs w:val="26"/>
                <w:rtl/>
              </w:rPr>
            </w:pPr>
          </w:p>
        </w:tc>
        <w:tc>
          <w:tcPr>
            <w:tcW w:w="3771" w:type="dxa"/>
          </w:tcPr>
          <w:p w:rsidR="002914D6" w:rsidRDefault="00011212">
            <w:pPr>
              <w:jc w:val="right"/>
              <w:rPr>
                <w:rFonts w:ascii="Arial" w:hAnsi="Arial"/>
                <w:b/>
                <w:bCs/>
                <w:noProof w:val="0"/>
                <w:sz w:val="26"/>
                <w:szCs w:val="26"/>
                <w:rtl/>
              </w:rPr>
            </w:pPr>
            <w:r>
              <w:rPr>
                <w:rFonts w:ascii="Arial" w:hAnsi="Arial"/>
                <w:b/>
                <w:bCs/>
                <w:noProof w:val="0"/>
                <w:sz w:val="26"/>
                <w:szCs w:val="26"/>
                <w:rtl/>
              </w:rPr>
              <w:t>מספר בקשה:</w:t>
            </w:r>
            <w:sdt>
              <w:sdtPr>
                <w:rPr>
                  <w:rtl/>
                </w:rPr>
                <w:alias w:val="1193"/>
                <w:tag w:val="1193"/>
                <w:id w:val="843432373"/>
                <w:text w:multiLine="1"/>
              </w:sdtPr>
              <w:sdtEndPr/>
              <w:sdtContent>
                <w:r>
                  <w:rPr>
                    <w:rFonts w:ascii="Arial" w:hAnsi="Arial"/>
                    <w:b/>
                    <w:bCs/>
                    <w:noProof w:val="0"/>
                    <w:sz w:val="26"/>
                    <w:szCs w:val="26"/>
                    <w:rtl/>
                  </w:rPr>
                  <w:t>9</w:t>
                </w:r>
              </w:sdtContent>
            </w:sdt>
          </w:p>
        </w:tc>
      </w:tr>
      <w:tr w:rsidR="002914D6" w:rsidTr="00DA714E">
        <w:tc>
          <w:tcPr>
            <w:tcW w:w="743" w:type="dxa"/>
          </w:tcPr>
          <w:p w:rsidR="002914D6" w:rsidRDefault="00011212">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3"/>
          </w:tcPr>
          <w:p w:rsidR="002914D6" w:rsidRDefault="00011212">
            <w:pPr>
              <w:rPr>
                <w:rFonts w:ascii="Arial" w:hAnsi="Arial"/>
                <w:b/>
                <w:bCs/>
                <w:rtl/>
              </w:rPr>
            </w:pPr>
            <w:r>
              <w:rPr>
                <w:rFonts w:ascii="Arial" w:hAnsi="Arial" w:hint="cs"/>
                <w:b/>
                <w:bCs/>
                <w:rtl/>
              </w:rPr>
              <w:t>כב' ה</w:t>
            </w:r>
            <w:sdt>
              <w:sdtPr>
                <w:rPr>
                  <w:rtl/>
                </w:rPr>
                <w:alias w:val="1574"/>
                <w:tag w:val="1574"/>
                <w:id w:val="157807208"/>
                <w:text w:multiLine="1"/>
              </w:sdtPr>
              <w:sdtEndPr/>
              <w:sdtContent>
                <w:r>
                  <w:rPr>
                    <w:rFonts w:ascii="Arial" w:hAnsi="Arial"/>
                    <w:b/>
                    <w:bCs/>
                    <w:rtl/>
                  </w:rPr>
                  <w:t>שופטת</w:t>
                </w:r>
              </w:sdtContent>
            </w:sdt>
            <w:r>
              <w:rPr>
                <w:rFonts w:ascii="Arial" w:hAnsi="Arial" w:hint="cs"/>
                <w:b/>
                <w:bCs/>
                <w:rtl/>
              </w:rPr>
              <w:t xml:space="preserve">  </w:t>
            </w:r>
            <w:sdt>
              <w:sdtPr>
                <w:rPr>
                  <w:rtl/>
                </w:rPr>
                <w:alias w:val="1573"/>
                <w:tag w:val="1573"/>
                <w:id w:val="-137115570"/>
                <w:text w:multiLine="1"/>
              </w:sdtPr>
              <w:sdtEndPr/>
              <w:sdtContent>
                <w:r>
                  <w:rPr>
                    <w:rFonts w:ascii="Arial" w:hAnsi="Arial"/>
                    <w:b/>
                    <w:bCs/>
                    <w:rtl/>
                  </w:rPr>
                  <w:t>אורית בן דור ליבל</w:t>
                </w:r>
              </w:sdtContent>
            </w:sdt>
          </w:p>
          <w:p w:rsidR="002914D6" w:rsidRDefault="002914D6">
            <w:pPr>
              <w:rPr>
                <w:rFonts w:ascii="Arial" w:hAnsi="Arial" w:cs="FrankRuehl"/>
                <w:sz w:val="28"/>
                <w:szCs w:val="28"/>
                <w:highlight w:val="yellow"/>
              </w:rPr>
            </w:pPr>
          </w:p>
        </w:tc>
      </w:tr>
      <w:tr w:rsidR="002914D6" w:rsidTr="00DA714E">
        <w:tc>
          <w:tcPr>
            <w:tcW w:w="3249" w:type="dxa"/>
            <w:gridSpan w:val="2"/>
          </w:tcPr>
          <w:p w:rsidR="002914D6" w:rsidRDefault="002914D6">
            <w:pPr>
              <w:bidi w:val="0"/>
              <w:jc w:val="right"/>
              <w:rPr>
                <w:rFonts w:ascii="Arial" w:hAnsi="Arial"/>
                <w:b/>
                <w:bCs/>
                <w:noProof w:val="0"/>
                <w:sz w:val="26"/>
                <w:szCs w:val="26"/>
              </w:rPr>
            </w:pPr>
          </w:p>
          <w:sdt>
            <w:sdtPr>
              <w:alias w:val="1180"/>
              <w:tag w:val="1180"/>
              <w:id w:val="2064520869"/>
              <w:text w:multiLine="1"/>
            </w:sdtPr>
            <w:sdtEndPr/>
            <w:sdtContent>
              <w:p w:rsidR="004F08AC" w:rsidRDefault="00460395" w:rsidP="005E095B">
                <w:pPr>
                  <w:bidi w:val="0"/>
                  <w:jc w:val="right"/>
                  <w:rPr>
                    <w:rFonts w:ascii="Arial" w:hAnsi="Arial"/>
                    <w:b/>
                    <w:bCs/>
                    <w:noProof w:val="0"/>
                    <w:sz w:val="26"/>
                    <w:szCs w:val="26"/>
                    <w:rtl/>
                  </w:rPr>
                </w:pPr>
                <w:r>
                  <w:rPr>
                    <w:rFonts w:ascii="Arial" w:hAnsi="Arial"/>
                    <w:b/>
                    <w:bCs/>
                    <w:noProof w:val="0"/>
                    <w:sz w:val="26"/>
                    <w:szCs w:val="26"/>
                    <w:rtl/>
                  </w:rPr>
                  <w:t>מבקש</w:t>
                </w:r>
                <w:r w:rsidR="005E095B">
                  <w:rPr>
                    <w:rFonts w:ascii="Arial" w:hAnsi="Arial" w:hint="cs"/>
                    <w:b/>
                    <w:bCs/>
                    <w:noProof w:val="0"/>
                    <w:sz w:val="26"/>
                    <w:szCs w:val="26"/>
                    <w:rtl/>
                  </w:rPr>
                  <w:t>ת</w:t>
                </w:r>
              </w:p>
            </w:sdtContent>
          </w:sdt>
        </w:tc>
        <w:tc>
          <w:tcPr>
            <w:tcW w:w="5571" w:type="dxa"/>
            <w:gridSpan w:val="2"/>
          </w:tcPr>
          <w:p w:rsidR="002914D6" w:rsidRDefault="002914D6">
            <w:pPr>
              <w:rPr>
                <w:rFonts w:ascii="Arial" w:hAnsi="Arial"/>
                <w:b/>
                <w:bCs/>
                <w:noProof w:val="0"/>
                <w:sz w:val="26"/>
                <w:szCs w:val="26"/>
              </w:rPr>
            </w:pPr>
          </w:p>
          <w:p w:rsidR="009139FB" w:rsidRDefault="009E7820" w:rsidP="009139FB">
            <w:pPr>
              <w:rPr>
                <w:sz w:val="22"/>
                <w:szCs w:val="22"/>
                <w:rtl/>
              </w:rPr>
            </w:pPr>
            <w:sdt>
              <w:sdtPr>
                <w:rPr>
                  <w:rtl/>
                </w:rPr>
                <w:alias w:val="1478"/>
                <w:tag w:val="1478"/>
                <w:id w:val="-2019765730"/>
                <w:text w:multiLine="1"/>
              </w:sdtPr>
              <w:sdtEndPr/>
              <w:sdtContent>
                <w:r w:rsidR="009139FB">
                  <w:rPr>
                    <w:rFonts w:ascii="Arial" w:hAnsi="Arial" w:hint="cs"/>
                    <w:b/>
                    <w:bCs/>
                    <w:noProof w:val="0"/>
                    <w:sz w:val="26"/>
                    <w:szCs w:val="26"/>
                    <w:rtl/>
                  </w:rPr>
                  <w:t>פלונית</w:t>
                </w:r>
              </w:sdtContent>
            </w:sdt>
            <w:r w:rsidR="009139FB">
              <w:rPr>
                <w:rFonts w:ascii="Arial" w:hAnsi="Arial" w:hint="cs"/>
                <w:b/>
                <w:bCs/>
                <w:noProof w:val="0"/>
                <w:sz w:val="26"/>
                <w:szCs w:val="26"/>
                <w:rtl/>
              </w:rPr>
              <w:t xml:space="preserve"> </w:t>
            </w:r>
          </w:p>
          <w:p w:rsidR="00FF0A81" w:rsidRPr="00FF0A81" w:rsidRDefault="00FF0A81" w:rsidP="009139FB">
            <w:pPr>
              <w:rPr>
                <w:noProof w:val="0"/>
                <w:sz w:val="22"/>
                <w:szCs w:val="22"/>
              </w:rPr>
            </w:pPr>
            <w:r>
              <w:rPr>
                <w:rFonts w:hint="cs"/>
                <w:sz w:val="22"/>
                <w:szCs w:val="22"/>
                <w:rtl/>
              </w:rPr>
              <w:t>ע"י ב"כ עו"ד לילי הורוביץ</w:t>
            </w:r>
          </w:p>
        </w:tc>
      </w:tr>
      <w:tr w:rsidR="002914D6" w:rsidTr="00DA714E">
        <w:tc>
          <w:tcPr>
            <w:tcW w:w="8820" w:type="dxa"/>
            <w:gridSpan w:val="4"/>
          </w:tcPr>
          <w:p w:rsidR="002914D6" w:rsidRDefault="002914D6">
            <w:pPr>
              <w:rPr>
                <w:rFonts w:ascii="Arial" w:hAnsi="Arial"/>
                <w:b/>
                <w:bCs/>
                <w:noProof w:val="0"/>
                <w:sz w:val="26"/>
                <w:szCs w:val="26"/>
                <w:rtl/>
              </w:rPr>
            </w:pPr>
          </w:p>
          <w:p w:rsidR="002914D6" w:rsidRDefault="00011212">
            <w:pPr>
              <w:jc w:val="center"/>
              <w:rPr>
                <w:rFonts w:ascii="Arial" w:hAnsi="Arial"/>
                <w:b/>
                <w:bCs/>
                <w:noProof w:val="0"/>
                <w:sz w:val="26"/>
                <w:szCs w:val="26"/>
                <w:rtl/>
              </w:rPr>
            </w:pPr>
            <w:r>
              <w:rPr>
                <w:rFonts w:ascii="Arial" w:hAnsi="Arial"/>
                <w:b/>
                <w:bCs/>
                <w:noProof w:val="0"/>
                <w:sz w:val="26"/>
                <w:szCs w:val="26"/>
                <w:rtl/>
              </w:rPr>
              <w:t>נגד</w:t>
            </w:r>
          </w:p>
          <w:p w:rsidR="002914D6" w:rsidRDefault="002914D6">
            <w:pPr>
              <w:rPr>
                <w:rFonts w:ascii="Arial" w:hAnsi="Arial"/>
                <w:b/>
                <w:bCs/>
                <w:noProof w:val="0"/>
                <w:sz w:val="26"/>
                <w:szCs w:val="26"/>
              </w:rPr>
            </w:pPr>
          </w:p>
        </w:tc>
      </w:tr>
      <w:tr w:rsidR="002914D6" w:rsidTr="00DA714E">
        <w:tc>
          <w:tcPr>
            <w:tcW w:w="3249" w:type="dxa"/>
            <w:gridSpan w:val="2"/>
          </w:tcPr>
          <w:p w:rsidR="002914D6" w:rsidRDefault="002914D6">
            <w:pPr>
              <w:rPr>
                <w:rFonts w:ascii="Arial" w:hAnsi="Arial"/>
                <w:b/>
                <w:bCs/>
                <w:noProof w:val="0"/>
                <w:sz w:val="26"/>
                <w:szCs w:val="26"/>
                <w:rtl/>
              </w:rPr>
            </w:pPr>
          </w:p>
          <w:p w:rsidR="002914D6" w:rsidRDefault="009E7820" w:rsidP="005E095B">
            <w:pPr>
              <w:rPr>
                <w:rFonts w:ascii="Arial" w:hAnsi="Arial"/>
                <w:b/>
                <w:bCs/>
                <w:noProof w:val="0"/>
                <w:sz w:val="26"/>
                <w:szCs w:val="26"/>
              </w:rPr>
            </w:pPr>
            <w:sdt>
              <w:sdtPr>
                <w:rPr>
                  <w:rtl/>
                </w:rPr>
                <w:alias w:val="1184"/>
                <w:tag w:val="1184"/>
                <w:id w:val="385841288"/>
                <w:text w:multiLine="1"/>
              </w:sdtPr>
              <w:sdtEndPr/>
              <w:sdtContent>
                <w:r w:rsidR="00CC29C2">
                  <w:rPr>
                    <w:rFonts w:ascii="Arial" w:hAnsi="Arial"/>
                    <w:b/>
                    <w:bCs/>
                    <w:noProof w:val="0"/>
                    <w:sz w:val="26"/>
                    <w:szCs w:val="26"/>
                    <w:rtl/>
                  </w:rPr>
                  <w:t>משיב</w:t>
                </w:r>
              </w:sdtContent>
            </w:sdt>
          </w:p>
        </w:tc>
        <w:tc>
          <w:tcPr>
            <w:tcW w:w="5571" w:type="dxa"/>
            <w:gridSpan w:val="2"/>
          </w:tcPr>
          <w:p w:rsidR="002914D6" w:rsidRDefault="002914D6">
            <w:pPr>
              <w:rPr>
                <w:rFonts w:ascii="Arial" w:hAnsi="Arial"/>
                <w:b/>
                <w:bCs/>
                <w:noProof w:val="0"/>
                <w:sz w:val="26"/>
                <w:szCs w:val="26"/>
                <w:rtl/>
              </w:rPr>
            </w:pPr>
          </w:p>
          <w:p w:rsidR="002914D6" w:rsidRDefault="009E7820" w:rsidP="009139FB">
            <w:pPr>
              <w:rPr>
                <w:b/>
                <w:bCs/>
                <w:noProof w:val="0"/>
                <w:sz w:val="26"/>
                <w:szCs w:val="26"/>
                <w:rtl/>
              </w:rPr>
            </w:pPr>
            <w:sdt>
              <w:sdtPr>
                <w:rPr>
                  <w:rtl/>
                </w:rPr>
                <w:alias w:val="1486"/>
                <w:tag w:val="1486"/>
                <w:id w:val="-1219885928"/>
                <w:text w:multiLine="1"/>
              </w:sdtPr>
              <w:sdtEndPr/>
              <w:sdtContent>
                <w:r w:rsidR="009139FB">
                  <w:rPr>
                    <w:rFonts w:ascii="Arial" w:hAnsi="Arial" w:hint="cs"/>
                    <w:b/>
                    <w:bCs/>
                    <w:noProof w:val="0"/>
                    <w:sz w:val="26"/>
                    <w:szCs w:val="26"/>
                    <w:rtl/>
                  </w:rPr>
                  <w:t>אלמוני</w:t>
                </w:r>
              </w:sdtContent>
            </w:sdt>
          </w:p>
        </w:tc>
      </w:tr>
      <w:tr w:rsidR="00DA714E" w:rsidTr="00020144">
        <w:tc>
          <w:tcPr>
            <w:tcW w:w="8820" w:type="dxa"/>
            <w:gridSpan w:val="4"/>
          </w:tcPr>
          <w:p w:rsidR="004F08AC" w:rsidRDefault="004F08AC">
            <w:pPr>
              <w:rPr>
                <w:b/>
                <w:bCs/>
                <w:sz w:val="26"/>
                <w:szCs w:val="26"/>
              </w:rPr>
            </w:pPr>
          </w:p>
          <w:p w:rsidR="00DA714E" w:rsidRDefault="00DA714E">
            <w:pPr>
              <w:rPr>
                <w:rFonts w:ascii="Arial" w:hAnsi="Arial"/>
                <w:b/>
                <w:bCs/>
                <w:noProof w:val="0"/>
                <w:sz w:val="26"/>
                <w:szCs w:val="26"/>
                <w:rtl/>
              </w:rPr>
            </w:pPr>
          </w:p>
        </w:tc>
      </w:tr>
    </w:tbl>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2914D6" w:rsidRDefault="00530E94">
            <w:pPr>
              <w:bidi w:val="0"/>
              <w:jc w:val="center"/>
              <w:rPr>
                <w:rFonts w:ascii="Arial" w:hAnsi="Arial"/>
                <w:b/>
                <w:bCs/>
                <w:noProof w:val="0"/>
                <w:sz w:val="28"/>
                <w:szCs w:val="28"/>
                <w:u w:val="single"/>
              </w:rPr>
            </w:pPr>
            <w:r>
              <w:rPr>
                <w:rFonts w:ascii="Arial" w:hAnsi="Arial" w:hint="cs"/>
                <w:b/>
                <w:bCs/>
                <w:noProof w:val="0"/>
                <w:sz w:val="28"/>
                <w:szCs w:val="28"/>
                <w:u w:val="single"/>
                <w:rtl/>
              </w:rPr>
              <w:t>החלטה</w:t>
            </w:r>
          </w:p>
        </w:tc>
      </w:tr>
    </w:tbl>
    <w:p w:rsidR="002914D6" w:rsidRDefault="002914D6">
      <w:pPr>
        <w:spacing w:line="360" w:lineRule="auto"/>
        <w:jc w:val="both"/>
        <w:rPr>
          <w:rFonts w:ascii="Arial" w:hAnsi="Arial"/>
          <w:noProof w:val="0"/>
          <w:rtl/>
        </w:rPr>
      </w:pPr>
    </w:p>
    <w:p w:rsidR="00B315DB" w:rsidRDefault="00B315DB" w:rsidP="003C1256">
      <w:pPr>
        <w:pStyle w:val="ae"/>
        <w:numPr>
          <w:ilvl w:val="0"/>
          <w:numId w:val="1"/>
        </w:numPr>
        <w:spacing w:after="0" w:line="360" w:lineRule="auto"/>
        <w:jc w:val="both"/>
        <w:rPr>
          <w:rFonts w:ascii="Arial" w:eastAsia="Times New Roman" w:hAnsi="Arial" w:cs="David"/>
          <w:sz w:val="24"/>
          <w:szCs w:val="24"/>
        </w:rPr>
      </w:pPr>
      <w:r>
        <w:rPr>
          <w:rFonts w:ascii="Arial" w:eastAsia="Times New Roman" w:hAnsi="Arial" w:cs="David" w:hint="cs"/>
          <w:sz w:val="24"/>
          <w:szCs w:val="24"/>
          <w:rtl/>
        </w:rPr>
        <w:t xml:space="preserve">המדובר בתביעה כספית שהגיש </w:t>
      </w:r>
      <w:r w:rsidR="00C71485">
        <w:rPr>
          <w:rFonts w:ascii="Arial" w:eastAsia="Times New Roman" w:hAnsi="Arial" w:cs="David" w:hint="cs"/>
          <w:sz w:val="24"/>
          <w:szCs w:val="24"/>
          <w:rtl/>
        </w:rPr>
        <w:t>המשיב</w:t>
      </w:r>
      <w:r>
        <w:rPr>
          <w:rFonts w:ascii="Arial" w:eastAsia="Times New Roman" w:hAnsi="Arial" w:cs="David" w:hint="cs"/>
          <w:sz w:val="24"/>
          <w:szCs w:val="24"/>
          <w:rtl/>
        </w:rPr>
        <w:t xml:space="preserve"> </w:t>
      </w:r>
      <w:r w:rsidR="00727DFC">
        <w:rPr>
          <w:rFonts w:ascii="Arial" w:eastAsia="Times New Roman" w:hAnsi="Arial" w:cs="David" w:hint="cs"/>
          <w:sz w:val="24"/>
          <w:szCs w:val="24"/>
          <w:rtl/>
        </w:rPr>
        <w:t xml:space="preserve">ביום 23.7.23 </w:t>
      </w:r>
      <w:r>
        <w:rPr>
          <w:rFonts w:ascii="Arial" w:eastAsia="Times New Roman" w:hAnsi="Arial" w:cs="David" w:hint="cs"/>
          <w:sz w:val="24"/>
          <w:szCs w:val="24"/>
          <w:rtl/>
        </w:rPr>
        <w:t xml:space="preserve">כנגד </w:t>
      </w:r>
      <w:r w:rsidR="00C71485">
        <w:rPr>
          <w:rFonts w:ascii="Arial" w:eastAsia="Times New Roman" w:hAnsi="Arial" w:cs="David" w:hint="cs"/>
          <w:sz w:val="24"/>
          <w:szCs w:val="24"/>
          <w:rtl/>
        </w:rPr>
        <w:t>המבקשת ב</w:t>
      </w:r>
      <w:r>
        <w:rPr>
          <w:rFonts w:ascii="Arial" w:eastAsia="Times New Roman" w:hAnsi="Arial" w:cs="David" w:hint="cs"/>
          <w:sz w:val="24"/>
          <w:szCs w:val="24"/>
          <w:rtl/>
        </w:rPr>
        <w:t xml:space="preserve">מסגרתה ביקש לחייבה בסך של 38,007 ₪ </w:t>
      </w:r>
      <w:r w:rsidR="005E095B">
        <w:rPr>
          <w:rFonts w:ascii="Arial" w:eastAsia="Times New Roman" w:hAnsi="Arial" w:cs="David"/>
          <w:sz w:val="24"/>
          <w:szCs w:val="24"/>
          <w:rtl/>
        </w:rPr>
        <w:t>בגין כספים שמשכה לדבריו מחשבון הבנק המשותף לאחר מועד איזון המשאבים (מועד הקרע)</w:t>
      </w:r>
      <w:r w:rsidR="00372ED9">
        <w:rPr>
          <w:rFonts w:ascii="Arial" w:eastAsia="Times New Roman" w:hAnsi="Arial" w:cs="David" w:hint="cs"/>
          <w:sz w:val="24"/>
          <w:szCs w:val="24"/>
          <w:rtl/>
        </w:rPr>
        <w:t>,</w:t>
      </w:r>
      <w:r w:rsidR="005E095B">
        <w:rPr>
          <w:rFonts w:ascii="Arial" w:eastAsia="Times New Roman" w:hAnsi="Arial" w:cs="David"/>
          <w:sz w:val="24"/>
          <w:szCs w:val="24"/>
          <w:rtl/>
        </w:rPr>
        <w:t xml:space="preserve"> שנקבע </w:t>
      </w:r>
      <w:r>
        <w:rPr>
          <w:rFonts w:ascii="Arial" w:eastAsia="Times New Roman" w:hAnsi="Arial" w:cs="David" w:hint="cs"/>
          <w:sz w:val="24"/>
          <w:szCs w:val="24"/>
          <w:rtl/>
        </w:rPr>
        <w:t xml:space="preserve">בהחלטת בית הדין הרבני </w:t>
      </w:r>
      <w:r w:rsidR="00610145">
        <w:rPr>
          <w:rFonts w:ascii="Arial" w:eastAsia="Times New Roman" w:hAnsi="Arial" w:cs="David" w:hint="cs"/>
          <w:sz w:val="24"/>
          <w:szCs w:val="24"/>
          <w:rtl/>
        </w:rPr>
        <w:t>ל"סוף חודש 5/18"</w:t>
      </w:r>
      <w:r>
        <w:rPr>
          <w:rFonts w:ascii="Arial" w:eastAsia="Times New Roman" w:hAnsi="Arial" w:cs="David" w:hint="cs"/>
          <w:sz w:val="24"/>
          <w:szCs w:val="24"/>
          <w:rtl/>
        </w:rPr>
        <w:t>.</w:t>
      </w:r>
    </w:p>
    <w:p w:rsidR="00B315DB" w:rsidRDefault="00B315DB" w:rsidP="003C1256">
      <w:pPr>
        <w:pStyle w:val="ae"/>
        <w:spacing w:after="0" w:line="360" w:lineRule="auto"/>
        <w:jc w:val="both"/>
        <w:rPr>
          <w:rFonts w:ascii="Arial" w:eastAsia="Times New Roman" w:hAnsi="Arial" w:cs="David"/>
          <w:sz w:val="24"/>
          <w:szCs w:val="24"/>
        </w:rPr>
      </w:pPr>
    </w:p>
    <w:p w:rsidR="005E095B" w:rsidRDefault="00372ED9" w:rsidP="003C1256">
      <w:pPr>
        <w:pStyle w:val="ae"/>
        <w:numPr>
          <w:ilvl w:val="0"/>
          <w:numId w:val="1"/>
        </w:numPr>
        <w:spacing w:after="0" w:line="360" w:lineRule="auto"/>
        <w:jc w:val="both"/>
        <w:rPr>
          <w:rFonts w:ascii="Arial" w:eastAsia="Times New Roman" w:hAnsi="Arial" w:cs="David"/>
          <w:sz w:val="24"/>
          <w:szCs w:val="24"/>
        </w:rPr>
      </w:pPr>
      <w:r>
        <w:rPr>
          <w:rFonts w:ascii="Arial" w:eastAsia="Times New Roman" w:hAnsi="Arial" w:cs="David" w:hint="cs"/>
          <w:sz w:val="24"/>
          <w:szCs w:val="24"/>
          <w:rtl/>
        </w:rPr>
        <w:t xml:space="preserve">עד כה </w:t>
      </w:r>
      <w:r w:rsidR="00B315DB">
        <w:rPr>
          <w:rFonts w:ascii="Arial" w:eastAsia="Times New Roman" w:hAnsi="Arial" w:cs="David" w:hint="cs"/>
          <w:sz w:val="24"/>
          <w:szCs w:val="24"/>
          <w:rtl/>
        </w:rPr>
        <w:t>ה</w:t>
      </w:r>
      <w:r w:rsidR="00C71485">
        <w:rPr>
          <w:rFonts w:ascii="Arial" w:eastAsia="Times New Roman" w:hAnsi="Arial" w:cs="David" w:hint="cs"/>
          <w:sz w:val="24"/>
          <w:szCs w:val="24"/>
          <w:rtl/>
        </w:rPr>
        <w:t>מבקשת</w:t>
      </w:r>
      <w:r w:rsidR="00B315DB">
        <w:rPr>
          <w:rFonts w:ascii="Arial" w:eastAsia="Times New Roman" w:hAnsi="Arial" w:cs="David" w:hint="cs"/>
          <w:sz w:val="24"/>
          <w:szCs w:val="24"/>
          <w:rtl/>
        </w:rPr>
        <w:t xml:space="preserve"> לא התגוננה מפני התביעה (מבלי שקיבלה היתר לכך)</w:t>
      </w:r>
      <w:r>
        <w:rPr>
          <w:rFonts w:ascii="Arial" w:eastAsia="Times New Roman" w:hAnsi="Arial" w:cs="David" w:hint="cs"/>
          <w:sz w:val="24"/>
          <w:szCs w:val="24"/>
          <w:rtl/>
        </w:rPr>
        <w:t>,</w:t>
      </w:r>
      <w:r w:rsidR="00B315DB">
        <w:rPr>
          <w:rFonts w:ascii="Arial" w:eastAsia="Times New Roman" w:hAnsi="Arial" w:cs="David" w:hint="cs"/>
          <w:sz w:val="24"/>
          <w:szCs w:val="24"/>
          <w:rtl/>
        </w:rPr>
        <w:t xml:space="preserve"> ו</w:t>
      </w:r>
      <w:r w:rsidR="00727DFC">
        <w:rPr>
          <w:rFonts w:ascii="Arial" w:eastAsia="Times New Roman" w:hAnsi="Arial" w:cs="David" w:hint="cs"/>
          <w:sz w:val="24"/>
          <w:szCs w:val="24"/>
          <w:rtl/>
        </w:rPr>
        <w:t xml:space="preserve">ביום 23.1.24 עתרה לדחיית התביעה על הסף </w:t>
      </w:r>
      <w:r w:rsidR="006D5F66">
        <w:rPr>
          <w:rFonts w:ascii="Arial" w:eastAsia="Times New Roman" w:hAnsi="Arial" w:cs="David" w:hint="cs"/>
          <w:sz w:val="24"/>
          <w:szCs w:val="24"/>
          <w:rtl/>
        </w:rPr>
        <w:t>בהעדר סמכות עניינית הקנויה לטענתה</w:t>
      </w:r>
      <w:r w:rsidR="00B315DB">
        <w:rPr>
          <w:rFonts w:ascii="Arial" w:eastAsia="Times New Roman" w:hAnsi="Arial" w:cs="David" w:hint="cs"/>
          <w:sz w:val="24"/>
          <w:szCs w:val="24"/>
          <w:rtl/>
        </w:rPr>
        <w:t xml:space="preserve"> לבית הדין הרבני</w:t>
      </w:r>
      <w:r w:rsidR="006D5F66">
        <w:rPr>
          <w:rFonts w:ascii="Arial" w:eastAsia="Times New Roman" w:hAnsi="Arial" w:cs="David" w:hint="cs"/>
          <w:sz w:val="24"/>
          <w:szCs w:val="24"/>
          <w:rtl/>
        </w:rPr>
        <w:t xml:space="preserve"> מכח סמכותו הנמשכת</w:t>
      </w:r>
      <w:r w:rsidR="00B315DB">
        <w:rPr>
          <w:rFonts w:ascii="Arial" w:eastAsia="Times New Roman" w:hAnsi="Arial" w:cs="David" w:hint="cs"/>
          <w:sz w:val="24"/>
          <w:szCs w:val="24"/>
          <w:rtl/>
        </w:rPr>
        <w:t>.</w:t>
      </w:r>
    </w:p>
    <w:p w:rsidR="00B315DB" w:rsidRPr="006D5F66" w:rsidRDefault="00B315DB" w:rsidP="003C1256">
      <w:pPr>
        <w:pStyle w:val="ae"/>
        <w:spacing w:after="0" w:line="360" w:lineRule="auto"/>
        <w:rPr>
          <w:rFonts w:ascii="Arial" w:eastAsia="Times New Roman" w:hAnsi="Arial" w:cs="David"/>
          <w:sz w:val="24"/>
          <w:szCs w:val="24"/>
          <w:rtl/>
        </w:rPr>
      </w:pPr>
    </w:p>
    <w:p w:rsidR="00B315DB" w:rsidRDefault="00B315DB" w:rsidP="000F5E64">
      <w:pPr>
        <w:pStyle w:val="ae"/>
        <w:numPr>
          <w:ilvl w:val="0"/>
          <w:numId w:val="1"/>
        </w:numPr>
        <w:spacing w:after="0" w:line="360" w:lineRule="auto"/>
        <w:jc w:val="both"/>
        <w:rPr>
          <w:rFonts w:ascii="Arial" w:eastAsia="Times New Roman" w:hAnsi="Arial" w:cs="David"/>
          <w:sz w:val="24"/>
          <w:szCs w:val="24"/>
        </w:rPr>
      </w:pPr>
      <w:r>
        <w:rPr>
          <w:rFonts w:ascii="Arial" w:eastAsia="Times New Roman" w:hAnsi="Arial" w:cs="David" w:hint="cs"/>
          <w:sz w:val="24"/>
          <w:szCs w:val="24"/>
          <w:rtl/>
        </w:rPr>
        <w:t xml:space="preserve">שני הצדדים הקשו על בית המשפט בהצגת טיעוניהם </w:t>
      </w:r>
      <w:r w:rsidR="002A21F2">
        <w:rPr>
          <w:rFonts w:ascii="Arial" w:eastAsia="Times New Roman" w:hAnsi="Arial" w:cs="David" w:hint="cs"/>
          <w:sz w:val="24"/>
          <w:szCs w:val="24"/>
          <w:rtl/>
        </w:rPr>
        <w:t xml:space="preserve">ועשו כן </w:t>
      </w:r>
      <w:r>
        <w:rPr>
          <w:rFonts w:ascii="Arial" w:eastAsia="Times New Roman" w:hAnsi="Arial" w:cs="David" w:hint="cs"/>
          <w:sz w:val="24"/>
          <w:szCs w:val="24"/>
          <w:rtl/>
        </w:rPr>
        <w:t xml:space="preserve">באופן חלקי ולא ברור </w:t>
      </w:r>
      <w:r w:rsidR="00727DFC">
        <w:rPr>
          <w:rFonts w:ascii="Arial" w:eastAsia="Times New Roman" w:hAnsi="Arial" w:cs="David" w:hint="cs"/>
          <w:sz w:val="24"/>
          <w:szCs w:val="24"/>
          <w:rtl/>
        </w:rPr>
        <w:t>וללא אסמכתאות</w:t>
      </w:r>
      <w:r w:rsidR="000F5E64">
        <w:rPr>
          <w:rFonts w:ascii="Arial" w:eastAsia="Times New Roman" w:hAnsi="Arial" w:cs="David" w:hint="cs"/>
          <w:sz w:val="24"/>
          <w:szCs w:val="24"/>
          <w:rtl/>
        </w:rPr>
        <w:t xml:space="preserve"> </w:t>
      </w:r>
      <w:r>
        <w:rPr>
          <w:rFonts w:ascii="Arial" w:eastAsia="Times New Roman" w:hAnsi="Arial" w:cs="David" w:hint="cs"/>
          <w:sz w:val="24"/>
          <w:szCs w:val="24"/>
          <w:rtl/>
        </w:rPr>
        <w:t>ונדרשו מספר החלטות על מנת שתתקבל בפני בית המשפט התמונה המלאה, כפי שתפורט להלן:</w:t>
      </w:r>
    </w:p>
    <w:p w:rsidR="00B315DB" w:rsidRPr="00B315DB" w:rsidRDefault="00B315DB" w:rsidP="003C1256">
      <w:pPr>
        <w:pStyle w:val="ae"/>
        <w:spacing w:after="0" w:line="360" w:lineRule="auto"/>
        <w:rPr>
          <w:rFonts w:ascii="Arial" w:eastAsia="Times New Roman" w:hAnsi="Arial" w:cs="David"/>
          <w:sz w:val="24"/>
          <w:szCs w:val="24"/>
          <w:rtl/>
        </w:rPr>
      </w:pPr>
    </w:p>
    <w:p w:rsidR="00C42AF6" w:rsidRDefault="008C3D45" w:rsidP="003C1256">
      <w:pPr>
        <w:pStyle w:val="ae"/>
        <w:numPr>
          <w:ilvl w:val="0"/>
          <w:numId w:val="3"/>
        </w:numPr>
        <w:spacing w:after="0" w:line="360" w:lineRule="auto"/>
        <w:jc w:val="both"/>
        <w:rPr>
          <w:rFonts w:ascii="Arial" w:eastAsia="Times New Roman" w:hAnsi="Arial" w:cs="David"/>
          <w:sz w:val="24"/>
          <w:szCs w:val="24"/>
        </w:rPr>
      </w:pPr>
      <w:r>
        <w:rPr>
          <w:rFonts w:ascii="Arial" w:eastAsia="Times New Roman" w:hAnsi="Arial" w:cs="David" w:hint="cs"/>
          <w:sz w:val="24"/>
          <w:szCs w:val="24"/>
          <w:rtl/>
        </w:rPr>
        <w:t>ה</w:t>
      </w:r>
      <w:r w:rsidR="00C71485">
        <w:rPr>
          <w:rFonts w:ascii="Arial" w:eastAsia="Times New Roman" w:hAnsi="Arial" w:cs="David" w:hint="cs"/>
          <w:sz w:val="24"/>
          <w:szCs w:val="24"/>
          <w:rtl/>
        </w:rPr>
        <w:t>מבקשת</w:t>
      </w:r>
      <w:r>
        <w:rPr>
          <w:rFonts w:ascii="Arial" w:eastAsia="Times New Roman" w:hAnsi="Arial" w:cs="David" w:hint="cs"/>
          <w:sz w:val="24"/>
          <w:szCs w:val="24"/>
          <w:rtl/>
        </w:rPr>
        <w:t xml:space="preserve"> עתרה לבית הדין הרבני </w:t>
      </w:r>
      <w:r w:rsidR="00727DFC">
        <w:rPr>
          <w:rFonts w:ascii="Arial" w:eastAsia="Times New Roman" w:hAnsi="Arial" w:cs="David" w:hint="cs"/>
          <w:sz w:val="24"/>
          <w:szCs w:val="24"/>
          <w:rtl/>
        </w:rPr>
        <w:t xml:space="preserve">האזורי בירושלים </w:t>
      </w:r>
      <w:r>
        <w:rPr>
          <w:rFonts w:ascii="Arial" w:eastAsia="Times New Roman" w:hAnsi="Arial" w:cs="David" w:hint="cs"/>
          <w:sz w:val="24"/>
          <w:szCs w:val="24"/>
          <w:rtl/>
        </w:rPr>
        <w:t xml:space="preserve">בתביעת גירושין לה כרכה בין היתר גם את סוגיית חלוקת הרכוש. </w:t>
      </w:r>
      <w:r w:rsidR="006D5F66">
        <w:rPr>
          <w:rFonts w:ascii="Arial" w:eastAsia="Times New Roman" w:hAnsi="Arial" w:cs="David" w:hint="cs"/>
          <w:sz w:val="24"/>
          <w:szCs w:val="24"/>
          <w:rtl/>
        </w:rPr>
        <w:t xml:space="preserve">הצדדים התגרשו זמ"ז ביום 4.6.20 והדיון בתביעת חלוקת הרכוש נמשך אף לאחר הגירושין. כך </w:t>
      </w:r>
      <w:r>
        <w:rPr>
          <w:rFonts w:ascii="Arial" w:eastAsia="Times New Roman" w:hAnsi="Arial" w:cs="David" w:hint="cs"/>
          <w:sz w:val="24"/>
          <w:szCs w:val="24"/>
          <w:rtl/>
        </w:rPr>
        <w:t>התקיים דיון</w:t>
      </w:r>
      <w:r w:rsidR="00C42AF6">
        <w:rPr>
          <w:rFonts w:ascii="Arial" w:eastAsia="Times New Roman" w:hAnsi="Arial" w:cs="David" w:hint="cs"/>
          <w:sz w:val="24"/>
          <w:szCs w:val="24"/>
          <w:rtl/>
        </w:rPr>
        <w:t xml:space="preserve"> ביום 26.7.20 בו נדונה בין היתר </w:t>
      </w:r>
      <w:r>
        <w:rPr>
          <w:rFonts w:ascii="Arial" w:eastAsia="Times New Roman" w:hAnsi="Arial" w:cs="David" w:hint="cs"/>
          <w:sz w:val="24"/>
          <w:szCs w:val="24"/>
          <w:rtl/>
        </w:rPr>
        <w:t xml:space="preserve"> שאלת מועד הקרע (עליו נחלקו הצדדים) ובהחלטה מיום 24.8.20 קבע בית הדין את מועד הקרע </w:t>
      </w:r>
      <w:r w:rsidR="00C42AF6">
        <w:rPr>
          <w:rFonts w:ascii="Arial" w:eastAsia="Times New Roman" w:hAnsi="Arial" w:cs="David" w:hint="cs"/>
          <w:sz w:val="24"/>
          <w:szCs w:val="24"/>
          <w:rtl/>
        </w:rPr>
        <w:t>"לסוף חודש מאי 2018"</w:t>
      </w:r>
      <w:r>
        <w:rPr>
          <w:rFonts w:ascii="Arial" w:eastAsia="Times New Roman" w:hAnsi="Arial" w:cs="David" w:hint="cs"/>
          <w:sz w:val="24"/>
          <w:szCs w:val="24"/>
          <w:rtl/>
        </w:rPr>
        <w:t xml:space="preserve">. </w:t>
      </w:r>
      <w:r w:rsidR="00C42AF6">
        <w:rPr>
          <w:rFonts w:ascii="Arial" w:eastAsia="Times New Roman" w:hAnsi="Arial" w:cs="David" w:hint="cs"/>
          <w:sz w:val="24"/>
          <w:szCs w:val="24"/>
          <w:rtl/>
        </w:rPr>
        <w:t xml:space="preserve">על יסוד "הסכמת הצדדים לאיזון משאבים עפ"י חוק" </w:t>
      </w:r>
      <w:r w:rsidR="00372ED9">
        <w:rPr>
          <w:rFonts w:ascii="Arial" w:eastAsia="Times New Roman" w:hAnsi="Arial" w:cs="David" w:hint="cs"/>
          <w:sz w:val="24"/>
          <w:szCs w:val="24"/>
          <w:rtl/>
        </w:rPr>
        <w:t xml:space="preserve">גם </w:t>
      </w:r>
      <w:r w:rsidR="00C42AF6">
        <w:rPr>
          <w:rFonts w:ascii="Arial" w:eastAsia="Times New Roman" w:hAnsi="Arial" w:cs="David" w:hint="cs"/>
          <w:sz w:val="24"/>
          <w:szCs w:val="24"/>
          <w:rtl/>
        </w:rPr>
        <w:t>מונה ב</w:t>
      </w:r>
      <w:r w:rsidR="002A21F2">
        <w:rPr>
          <w:rFonts w:ascii="Arial" w:eastAsia="Times New Roman" w:hAnsi="Arial" w:cs="David" w:hint="cs"/>
          <w:sz w:val="24"/>
          <w:szCs w:val="24"/>
          <w:rtl/>
        </w:rPr>
        <w:t>אות</w:t>
      </w:r>
      <w:r w:rsidR="00C42AF6">
        <w:rPr>
          <w:rFonts w:ascii="Arial" w:eastAsia="Times New Roman" w:hAnsi="Arial" w:cs="David" w:hint="cs"/>
          <w:sz w:val="24"/>
          <w:szCs w:val="24"/>
          <w:rtl/>
        </w:rPr>
        <w:t xml:space="preserve">ה </w:t>
      </w:r>
      <w:r w:rsidR="002A21F2">
        <w:rPr>
          <w:rFonts w:ascii="Arial" w:eastAsia="Times New Roman" w:hAnsi="Arial" w:cs="David" w:hint="cs"/>
          <w:sz w:val="24"/>
          <w:szCs w:val="24"/>
          <w:rtl/>
        </w:rPr>
        <w:t xml:space="preserve">החלטה </w:t>
      </w:r>
      <w:r w:rsidR="00C42AF6">
        <w:rPr>
          <w:rFonts w:ascii="Arial" w:eastAsia="Times New Roman" w:hAnsi="Arial" w:cs="David" w:hint="cs"/>
          <w:sz w:val="24"/>
          <w:szCs w:val="24"/>
          <w:rtl/>
        </w:rPr>
        <w:t>רו"ח אבי יחזקאל ל</w:t>
      </w:r>
      <w:r w:rsidR="002A21F2">
        <w:rPr>
          <w:rFonts w:ascii="Arial" w:eastAsia="Times New Roman" w:hAnsi="Arial" w:cs="David" w:hint="cs"/>
          <w:sz w:val="24"/>
          <w:szCs w:val="24"/>
          <w:rtl/>
        </w:rPr>
        <w:t xml:space="preserve">צורך </w:t>
      </w:r>
      <w:r w:rsidR="00C42AF6">
        <w:rPr>
          <w:rFonts w:ascii="Arial" w:eastAsia="Times New Roman" w:hAnsi="Arial" w:cs="David" w:hint="cs"/>
          <w:sz w:val="24"/>
          <w:szCs w:val="24"/>
          <w:rtl/>
        </w:rPr>
        <w:t xml:space="preserve">עריכת דו"ח אקטוארי, ביחס לזכויות הממון שנצברו לצדדים החל מיום הנישואין ועד למועד הקרע. </w:t>
      </w:r>
    </w:p>
    <w:p w:rsidR="00B315DB" w:rsidRDefault="008C3D45" w:rsidP="003C1256">
      <w:pPr>
        <w:pStyle w:val="ae"/>
        <w:numPr>
          <w:ilvl w:val="0"/>
          <w:numId w:val="3"/>
        </w:numPr>
        <w:spacing w:after="0" w:line="360" w:lineRule="auto"/>
        <w:jc w:val="both"/>
        <w:rPr>
          <w:rFonts w:ascii="Arial" w:eastAsia="Times New Roman" w:hAnsi="Arial" w:cs="David"/>
          <w:sz w:val="24"/>
          <w:szCs w:val="24"/>
        </w:rPr>
      </w:pPr>
      <w:r>
        <w:rPr>
          <w:rFonts w:ascii="Arial" w:eastAsia="Times New Roman" w:hAnsi="Arial" w:cs="David" w:hint="cs"/>
          <w:sz w:val="24"/>
          <w:szCs w:val="24"/>
          <w:rtl/>
        </w:rPr>
        <w:t>ערעור שהגיש ה</w:t>
      </w:r>
      <w:r w:rsidR="00C71485">
        <w:rPr>
          <w:rFonts w:ascii="Arial" w:eastAsia="Times New Roman" w:hAnsi="Arial" w:cs="David" w:hint="cs"/>
          <w:sz w:val="24"/>
          <w:szCs w:val="24"/>
          <w:rtl/>
        </w:rPr>
        <w:t>משיב</w:t>
      </w:r>
      <w:r>
        <w:rPr>
          <w:rFonts w:ascii="Arial" w:eastAsia="Times New Roman" w:hAnsi="Arial" w:cs="David" w:hint="cs"/>
          <w:sz w:val="24"/>
          <w:szCs w:val="24"/>
          <w:rtl/>
        </w:rPr>
        <w:t xml:space="preserve"> על החלטה זו </w:t>
      </w:r>
      <w:r w:rsidR="00C42AF6">
        <w:rPr>
          <w:rFonts w:ascii="Arial" w:eastAsia="Times New Roman" w:hAnsi="Arial" w:cs="David" w:hint="cs"/>
          <w:sz w:val="24"/>
          <w:szCs w:val="24"/>
          <w:rtl/>
        </w:rPr>
        <w:t xml:space="preserve">(ביחס למועד הקרע) </w:t>
      </w:r>
      <w:r>
        <w:rPr>
          <w:rFonts w:ascii="Arial" w:eastAsia="Times New Roman" w:hAnsi="Arial" w:cs="David" w:hint="cs"/>
          <w:sz w:val="24"/>
          <w:szCs w:val="24"/>
          <w:rtl/>
        </w:rPr>
        <w:t>נדחה על ידי בית הדין הרבני הגדול ביום 21.5.21.</w:t>
      </w:r>
    </w:p>
    <w:p w:rsidR="00CB0D9F" w:rsidRDefault="00DF08E8" w:rsidP="003C1256">
      <w:pPr>
        <w:pStyle w:val="ae"/>
        <w:numPr>
          <w:ilvl w:val="0"/>
          <w:numId w:val="3"/>
        </w:numPr>
        <w:spacing w:after="0" w:line="360" w:lineRule="auto"/>
        <w:jc w:val="both"/>
        <w:rPr>
          <w:rFonts w:ascii="Arial" w:eastAsia="Times New Roman" w:hAnsi="Arial" w:cs="David"/>
          <w:sz w:val="24"/>
          <w:szCs w:val="24"/>
        </w:rPr>
      </w:pPr>
      <w:r>
        <w:rPr>
          <w:rFonts w:ascii="Arial" w:eastAsia="Times New Roman" w:hAnsi="Arial" w:cs="David" w:hint="cs"/>
          <w:sz w:val="24"/>
          <w:szCs w:val="24"/>
          <w:rtl/>
        </w:rPr>
        <w:lastRenderedPageBreak/>
        <w:t>ביום23.5.21 עתרה ה</w:t>
      </w:r>
      <w:r w:rsidR="00C71485">
        <w:rPr>
          <w:rFonts w:ascii="Arial" w:eastAsia="Times New Roman" w:hAnsi="Arial" w:cs="David" w:hint="cs"/>
          <w:sz w:val="24"/>
          <w:szCs w:val="24"/>
          <w:rtl/>
        </w:rPr>
        <w:t>מבקשת</w:t>
      </w:r>
      <w:r>
        <w:rPr>
          <w:rFonts w:ascii="Arial" w:eastAsia="Times New Roman" w:hAnsi="Arial" w:cs="David" w:hint="cs"/>
          <w:sz w:val="24"/>
          <w:szCs w:val="24"/>
          <w:rtl/>
        </w:rPr>
        <w:t xml:space="preserve"> לבית הדין בבקשה לקבל פסק דין שיצהיר </w:t>
      </w:r>
      <w:r w:rsidR="008C3D45" w:rsidRPr="008C3D45">
        <w:rPr>
          <w:rFonts w:ascii="Arial" w:eastAsia="Times New Roman" w:hAnsi="Arial" w:cs="David" w:hint="cs"/>
          <w:sz w:val="24"/>
          <w:szCs w:val="24"/>
          <w:rtl/>
        </w:rPr>
        <w:t>שהיא חייבת סך של 10,464 ₪ בלבד מחוב הצדדים לבנק דיסקונט</w:t>
      </w:r>
      <w:r>
        <w:rPr>
          <w:rFonts w:ascii="Arial" w:eastAsia="Times New Roman" w:hAnsi="Arial" w:cs="David" w:hint="cs"/>
          <w:sz w:val="24"/>
          <w:szCs w:val="24"/>
          <w:rtl/>
        </w:rPr>
        <w:t>, זאת</w:t>
      </w:r>
      <w:r w:rsidR="008C3D45" w:rsidRPr="008C3D45">
        <w:rPr>
          <w:rFonts w:ascii="Arial" w:eastAsia="Times New Roman" w:hAnsi="Arial" w:cs="David" w:hint="cs"/>
          <w:sz w:val="24"/>
          <w:szCs w:val="24"/>
          <w:rtl/>
        </w:rPr>
        <w:t xml:space="preserve"> לאחר שנפתח הליך כנגד הצדדים לגביית החוב בהוצאה לפועל. </w:t>
      </w:r>
    </w:p>
    <w:p w:rsidR="007921DE" w:rsidRDefault="00CB0D9F" w:rsidP="003C1256">
      <w:pPr>
        <w:pStyle w:val="ae"/>
        <w:numPr>
          <w:ilvl w:val="0"/>
          <w:numId w:val="3"/>
        </w:numPr>
        <w:spacing w:after="0" w:line="360" w:lineRule="auto"/>
        <w:jc w:val="both"/>
        <w:rPr>
          <w:rFonts w:ascii="Arial" w:eastAsia="Times New Roman" w:hAnsi="Arial" w:cs="David"/>
          <w:sz w:val="24"/>
          <w:szCs w:val="24"/>
        </w:rPr>
      </w:pPr>
      <w:r>
        <w:rPr>
          <w:rFonts w:ascii="Arial" w:eastAsia="Times New Roman" w:hAnsi="Arial" w:cs="David" w:hint="cs"/>
          <w:sz w:val="24"/>
          <w:szCs w:val="24"/>
          <w:rtl/>
        </w:rPr>
        <w:t xml:space="preserve">בהחלטה מיום 30.6.21 דחה בית הדין את בקשתה "כפי שהיא" וציין שיש לברר </w:t>
      </w:r>
      <w:r w:rsidR="00372ED9">
        <w:rPr>
          <w:rFonts w:ascii="Arial" w:eastAsia="Times New Roman" w:hAnsi="Arial" w:cs="David" w:hint="cs"/>
          <w:sz w:val="24"/>
          <w:szCs w:val="24"/>
          <w:rtl/>
        </w:rPr>
        <w:t xml:space="preserve">בין היתר גם </w:t>
      </w:r>
      <w:r>
        <w:rPr>
          <w:rFonts w:ascii="Arial" w:eastAsia="Times New Roman" w:hAnsi="Arial" w:cs="David" w:hint="cs"/>
          <w:sz w:val="24"/>
          <w:szCs w:val="24"/>
          <w:rtl/>
        </w:rPr>
        <w:t>את הסכומים בהם נשא ה</w:t>
      </w:r>
      <w:r w:rsidR="00C71485">
        <w:rPr>
          <w:rFonts w:ascii="Arial" w:eastAsia="Times New Roman" w:hAnsi="Arial" w:cs="David" w:hint="cs"/>
          <w:sz w:val="24"/>
          <w:szCs w:val="24"/>
          <w:rtl/>
        </w:rPr>
        <w:t>משיב</w:t>
      </w:r>
      <w:r>
        <w:rPr>
          <w:rFonts w:ascii="Arial" w:eastAsia="Times New Roman" w:hAnsi="Arial" w:cs="David" w:hint="cs"/>
          <w:sz w:val="24"/>
          <w:szCs w:val="24"/>
          <w:rtl/>
        </w:rPr>
        <w:t xml:space="preserve"> </w:t>
      </w:r>
      <w:r w:rsidR="007921DE">
        <w:rPr>
          <w:rFonts w:ascii="Arial" w:eastAsia="Times New Roman" w:hAnsi="Arial" w:cs="David" w:hint="cs"/>
          <w:sz w:val="24"/>
          <w:szCs w:val="24"/>
          <w:rtl/>
        </w:rPr>
        <w:t>ל</w:t>
      </w:r>
      <w:r>
        <w:rPr>
          <w:rFonts w:ascii="Arial" w:eastAsia="Times New Roman" w:hAnsi="Arial" w:cs="David" w:hint="cs"/>
          <w:sz w:val="24"/>
          <w:szCs w:val="24"/>
          <w:rtl/>
        </w:rPr>
        <w:t>פירעון ההלוואות לאחר מועד הקרע</w:t>
      </w:r>
      <w:r w:rsidR="007921DE">
        <w:rPr>
          <w:rFonts w:ascii="Arial" w:eastAsia="Times New Roman" w:hAnsi="Arial" w:cs="David" w:hint="cs"/>
          <w:sz w:val="24"/>
          <w:szCs w:val="24"/>
          <w:rtl/>
        </w:rPr>
        <w:t xml:space="preserve">, מי ביצע משיכות שנעשו מהחשבון המשותף לאחר מועד הקרע ועוד. כן נקבע באותה החלטה: </w:t>
      </w:r>
      <w:r w:rsidR="007921DE">
        <w:rPr>
          <w:rFonts w:ascii="Arial" w:eastAsia="Times New Roman" w:hAnsi="Arial" w:cs="David"/>
          <w:sz w:val="24"/>
          <w:szCs w:val="24"/>
          <w:rtl/>
        </w:rPr>
        <w:t>"במצב דברים זה, כל שביה"ד יכול לעשות הוא לקבוע שחובות שנוצרו בחשבון הבנק המשותף לאחר מועד הקרע (סוף חודש 5/18) חלים על מי שיצר אותם בלבד – ככל ומדו</w:t>
      </w:r>
      <w:r w:rsidR="007921DE">
        <w:rPr>
          <w:rFonts w:ascii="Arial" w:eastAsia="Times New Roman" w:hAnsi="Arial" w:cs="David" w:hint="cs"/>
          <w:sz w:val="24"/>
          <w:szCs w:val="24"/>
          <w:rtl/>
        </w:rPr>
        <w:t>ב</w:t>
      </w:r>
      <w:r w:rsidR="007921DE">
        <w:rPr>
          <w:rFonts w:ascii="Arial" w:eastAsia="Times New Roman" w:hAnsi="Arial" w:cs="David"/>
          <w:sz w:val="24"/>
          <w:szCs w:val="24"/>
          <w:rtl/>
        </w:rPr>
        <w:t>ר בכספים שהוצאו ע"י המשיב מדובר בחובות של המשיב בלבד וככל שמדובר בכספים שהוצאו ע"י המבקשת – מדובר בחובות של המבקשת בלבד. חובות שמקורם הוא לפני מועד הקר</w:t>
      </w:r>
      <w:r w:rsidR="007921DE">
        <w:rPr>
          <w:rFonts w:ascii="Arial" w:eastAsia="Times New Roman" w:hAnsi="Arial" w:cs="David" w:hint="cs"/>
          <w:sz w:val="24"/>
          <w:szCs w:val="24"/>
          <w:rtl/>
        </w:rPr>
        <w:t>ע</w:t>
      </w:r>
      <w:r w:rsidR="007921DE">
        <w:rPr>
          <w:rFonts w:ascii="Arial" w:eastAsia="Times New Roman" w:hAnsi="Arial" w:cs="David"/>
          <w:sz w:val="24"/>
          <w:szCs w:val="24"/>
          <w:rtl/>
        </w:rPr>
        <w:t xml:space="preserve"> – חלים על שני הצדדים" (נספח א' לכתב התביעה).</w:t>
      </w:r>
    </w:p>
    <w:p w:rsidR="007921DE" w:rsidRPr="008C3D45" w:rsidRDefault="00DF08E8" w:rsidP="003C1256">
      <w:pPr>
        <w:pStyle w:val="ae"/>
        <w:numPr>
          <w:ilvl w:val="0"/>
          <w:numId w:val="3"/>
        </w:numPr>
        <w:spacing w:after="0" w:line="360" w:lineRule="auto"/>
        <w:jc w:val="both"/>
        <w:rPr>
          <w:rFonts w:ascii="Arial" w:eastAsia="Times New Roman" w:hAnsi="Arial" w:cs="David"/>
          <w:sz w:val="24"/>
          <w:szCs w:val="24"/>
        </w:rPr>
      </w:pPr>
      <w:r>
        <w:rPr>
          <w:rFonts w:ascii="Arial" w:eastAsia="Times New Roman" w:hAnsi="Arial" w:cs="David" w:hint="cs"/>
          <w:sz w:val="24"/>
          <w:szCs w:val="24"/>
          <w:rtl/>
        </w:rPr>
        <w:t xml:space="preserve">מאז </w:t>
      </w:r>
      <w:r w:rsidR="00D4021E">
        <w:rPr>
          <w:rFonts w:ascii="Arial" w:eastAsia="Times New Roman" w:hAnsi="Arial" w:cs="David" w:hint="cs"/>
          <w:sz w:val="24"/>
          <w:szCs w:val="24"/>
          <w:rtl/>
        </w:rPr>
        <w:t xml:space="preserve">זנחה </w:t>
      </w:r>
      <w:r>
        <w:rPr>
          <w:rFonts w:ascii="Arial" w:eastAsia="Times New Roman" w:hAnsi="Arial" w:cs="David" w:hint="cs"/>
          <w:sz w:val="24"/>
          <w:szCs w:val="24"/>
          <w:rtl/>
        </w:rPr>
        <w:t>ה</w:t>
      </w:r>
      <w:r w:rsidR="00C71485">
        <w:rPr>
          <w:rFonts w:ascii="Arial" w:eastAsia="Times New Roman" w:hAnsi="Arial" w:cs="David" w:hint="cs"/>
          <w:sz w:val="24"/>
          <w:szCs w:val="24"/>
          <w:rtl/>
        </w:rPr>
        <w:t>מבקשת</w:t>
      </w:r>
      <w:r>
        <w:rPr>
          <w:rFonts w:ascii="Arial" w:eastAsia="Times New Roman" w:hAnsi="Arial" w:cs="David" w:hint="cs"/>
          <w:sz w:val="24"/>
          <w:szCs w:val="24"/>
          <w:rtl/>
        </w:rPr>
        <w:t xml:space="preserve"> </w:t>
      </w:r>
      <w:r w:rsidR="00D4021E">
        <w:rPr>
          <w:rFonts w:ascii="Arial" w:eastAsia="Times New Roman" w:hAnsi="Arial" w:cs="David" w:hint="cs"/>
          <w:sz w:val="24"/>
          <w:szCs w:val="24"/>
          <w:rtl/>
        </w:rPr>
        <w:t>את</w:t>
      </w:r>
      <w:r>
        <w:rPr>
          <w:rFonts w:ascii="Arial" w:eastAsia="Times New Roman" w:hAnsi="Arial" w:cs="David" w:hint="cs"/>
          <w:sz w:val="24"/>
          <w:szCs w:val="24"/>
          <w:rtl/>
        </w:rPr>
        <w:t xml:space="preserve"> תביעתה, ו</w:t>
      </w:r>
      <w:r w:rsidR="007921DE" w:rsidRPr="008C3D45">
        <w:rPr>
          <w:rFonts w:ascii="Arial" w:eastAsia="Times New Roman" w:hAnsi="Arial" w:cs="David" w:hint="cs"/>
          <w:sz w:val="24"/>
          <w:szCs w:val="24"/>
          <w:rtl/>
        </w:rPr>
        <w:t>לאחר</w:t>
      </w:r>
      <w:r w:rsidR="00DB076E">
        <w:rPr>
          <w:rFonts w:ascii="Arial" w:eastAsia="Times New Roman" w:hAnsi="Arial" w:cs="David" w:hint="cs"/>
          <w:sz w:val="24"/>
          <w:szCs w:val="24"/>
          <w:rtl/>
        </w:rPr>
        <w:t xml:space="preserve"> התראה </w:t>
      </w:r>
      <w:r>
        <w:rPr>
          <w:rFonts w:ascii="Arial" w:eastAsia="Times New Roman" w:hAnsi="Arial" w:cs="David" w:hint="cs"/>
          <w:sz w:val="24"/>
          <w:szCs w:val="24"/>
          <w:rtl/>
        </w:rPr>
        <w:t>מ</w:t>
      </w:r>
      <w:r w:rsidR="00DB076E">
        <w:rPr>
          <w:rFonts w:ascii="Arial" w:eastAsia="Times New Roman" w:hAnsi="Arial" w:cs="David" w:hint="cs"/>
          <w:sz w:val="24"/>
          <w:szCs w:val="24"/>
          <w:rtl/>
        </w:rPr>
        <w:t>יום 21.5.23 נסגר התיק בבית הדין בהחלטה מ</w:t>
      </w:r>
      <w:r w:rsidR="007921DE" w:rsidRPr="008C3D45">
        <w:rPr>
          <w:rFonts w:ascii="Arial" w:eastAsia="Times New Roman" w:hAnsi="Arial" w:cs="David" w:hint="cs"/>
          <w:sz w:val="24"/>
          <w:szCs w:val="24"/>
          <w:rtl/>
        </w:rPr>
        <w:t xml:space="preserve">יום 22.6.23 </w:t>
      </w:r>
      <w:r w:rsidR="00DB076E">
        <w:rPr>
          <w:rFonts w:ascii="Arial" w:eastAsia="Times New Roman" w:hAnsi="Arial" w:cs="David" w:hint="cs"/>
          <w:sz w:val="24"/>
          <w:szCs w:val="24"/>
          <w:rtl/>
        </w:rPr>
        <w:t xml:space="preserve">בה נקבע: "הטיפול בתיק הסתיים, התיק ייסגר" וזאת </w:t>
      </w:r>
      <w:r w:rsidR="007921DE" w:rsidRPr="008C3D45">
        <w:rPr>
          <w:rFonts w:ascii="Arial" w:eastAsia="Times New Roman" w:hAnsi="Arial" w:cs="David" w:hint="cs"/>
          <w:sz w:val="24"/>
          <w:szCs w:val="24"/>
          <w:rtl/>
        </w:rPr>
        <w:t>מבלי שניתן פסק דין בסוגיית הרכוש.</w:t>
      </w:r>
    </w:p>
    <w:p w:rsidR="007921DE" w:rsidRPr="00D4021E" w:rsidRDefault="007921DE" w:rsidP="003C1256">
      <w:pPr>
        <w:spacing w:line="360" w:lineRule="auto"/>
        <w:ind w:left="720"/>
        <w:jc w:val="both"/>
        <w:rPr>
          <w:rFonts w:ascii="David" w:hAnsi="David"/>
          <w:rtl/>
        </w:rPr>
      </w:pPr>
    </w:p>
    <w:p w:rsidR="000A6B8C" w:rsidRPr="00DF08E8" w:rsidRDefault="007921DE" w:rsidP="000F5E64">
      <w:pPr>
        <w:pStyle w:val="ae"/>
        <w:numPr>
          <w:ilvl w:val="0"/>
          <w:numId w:val="1"/>
        </w:numPr>
        <w:spacing w:after="0" w:line="360" w:lineRule="auto"/>
        <w:ind w:left="714" w:hanging="357"/>
        <w:jc w:val="both"/>
        <w:rPr>
          <w:rFonts w:ascii="David" w:hAnsi="David" w:cs="David"/>
          <w:sz w:val="24"/>
          <w:szCs w:val="24"/>
        </w:rPr>
      </w:pPr>
      <w:r w:rsidRPr="00DF08E8">
        <w:rPr>
          <w:rFonts w:ascii="David" w:hAnsi="David" w:cs="David"/>
          <w:sz w:val="24"/>
          <w:szCs w:val="24"/>
          <w:rtl/>
        </w:rPr>
        <w:t xml:space="preserve">חודש לאחר </w:t>
      </w:r>
      <w:r w:rsidR="00AF4AA5" w:rsidRPr="00DF08E8">
        <w:rPr>
          <w:rFonts w:ascii="David" w:hAnsi="David" w:cs="David" w:hint="cs"/>
          <w:sz w:val="24"/>
          <w:szCs w:val="24"/>
          <w:rtl/>
        </w:rPr>
        <w:t>שנסגר התיק בבית הדין הרבני</w:t>
      </w:r>
      <w:r w:rsidRPr="00DF08E8">
        <w:rPr>
          <w:rFonts w:ascii="David" w:hAnsi="David" w:cs="David"/>
          <w:sz w:val="24"/>
          <w:szCs w:val="24"/>
          <w:rtl/>
        </w:rPr>
        <w:t>, ביום 23.7.23, עתר ה</w:t>
      </w:r>
      <w:r w:rsidR="00C71485">
        <w:rPr>
          <w:rFonts w:ascii="David" w:hAnsi="David" w:cs="David"/>
          <w:sz w:val="24"/>
          <w:szCs w:val="24"/>
          <w:rtl/>
        </w:rPr>
        <w:t>משיב</w:t>
      </w:r>
      <w:r w:rsidRPr="00DF08E8">
        <w:rPr>
          <w:rFonts w:ascii="David" w:hAnsi="David" w:cs="David"/>
          <w:sz w:val="24"/>
          <w:szCs w:val="24"/>
          <w:rtl/>
        </w:rPr>
        <w:t xml:space="preserve"> בתביעה הכספית דכאן שעניינה חיוב ה</w:t>
      </w:r>
      <w:r w:rsidR="00C71485">
        <w:rPr>
          <w:rFonts w:ascii="David" w:hAnsi="David" w:cs="David"/>
          <w:sz w:val="24"/>
          <w:szCs w:val="24"/>
          <w:rtl/>
        </w:rPr>
        <w:t>מבקשת</w:t>
      </w:r>
      <w:r w:rsidR="00AF4AA5" w:rsidRPr="00DF08E8">
        <w:rPr>
          <w:rFonts w:ascii="David" w:hAnsi="David" w:cs="David"/>
          <w:sz w:val="24"/>
          <w:szCs w:val="24"/>
          <w:rtl/>
        </w:rPr>
        <w:t xml:space="preserve"> בסכומים שמשכה לדבריו מחשבון הבנק המשותף</w:t>
      </w:r>
      <w:r w:rsidR="00AF4AA5" w:rsidRPr="00DF08E8">
        <w:rPr>
          <w:rFonts w:ascii="David" w:hAnsi="David" w:cs="David" w:hint="cs"/>
          <w:sz w:val="24"/>
          <w:szCs w:val="24"/>
          <w:rtl/>
        </w:rPr>
        <w:t xml:space="preserve"> לאחר מועד הקרע</w:t>
      </w:r>
      <w:r w:rsidR="00372ED9">
        <w:rPr>
          <w:rFonts w:ascii="David" w:hAnsi="David" w:cs="David" w:hint="cs"/>
          <w:sz w:val="24"/>
          <w:szCs w:val="24"/>
          <w:rtl/>
        </w:rPr>
        <w:t>. בתביעתו</w:t>
      </w:r>
      <w:r w:rsidR="00DF08E8" w:rsidRPr="00DF08E8">
        <w:rPr>
          <w:rFonts w:ascii="David" w:hAnsi="David" w:cs="David" w:hint="cs"/>
          <w:sz w:val="24"/>
          <w:szCs w:val="24"/>
          <w:rtl/>
        </w:rPr>
        <w:t xml:space="preserve"> בהסתמך </w:t>
      </w:r>
      <w:r w:rsidR="00372ED9">
        <w:rPr>
          <w:rFonts w:ascii="David" w:hAnsi="David" w:cs="David" w:hint="cs"/>
          <w:sz w:val="24"/>
          <w:szCs w:val="24"/>
          <w:rtl/>
        </w:rPr>
        <w:t>ה</w:t>
      </w:r>
      <w:r w:rsidR="00C71485">
        <w:rPr>
          <w:rFonts w:ascii="David" w:hAnsi="David" w:cs="David" w:hint="cs"/>
          <w:sz w:val="24"/>
          <w:szCs w:val="24"/>
          <w:rtl/>
        </w:rPr>
        <w:t>משיב</w:t>
      </w:r>
      <w:r w:rsidR="00372ED9">
        <w:rPr>
          <w:rFonts w:ascii="David" w:hAnsi="David" w:cs="David" w:hint="cs"/>
          <w:sz w:val="24"/>
          <w:szCs w:val="24"/>
          <w:rtl/>
        </w:rPr>
        <w:t xml:space="preserve"> הן </w:t>
      </w:r>
      <w:r w:rsidR="00DF08E8" w:rsidRPr="00DF08E8">
        <w:rPr>
          <w:rFonts w:ascii="David" w:hAnsi="David" w:cs="David" w:hint="cs"/>
          <w:sz w:val="24"/>
          <w:szCs w:val="24"/>
          <w:rtl/>
        </w:rPr>
        <w:t xml:space="preserve">על מועד הקרע שנקבע על ידי בית הדין והן </w:t>
      </w:r>
      <w:r w:rsidR="00372ED9">
        <w:rPr>
          <w:rFonts w:ascii="David" w:hAnsi="David" w:cs="David" w:hint="cs"/>
          <w:sz w:val="24"/>
          <w:szCs w:val="24"/>
          <w:rtl/>
        </w:rPr>
        <w:t>על ה</w:t>
      </w:r>
      <w:r w:rsidR="00DF08E8" w:rsidRPr="00DF08E8">
        <w:rPr>
          <w:rFonts w:ascii="David" w:hAnsi="David" w:cs="David" w:hint="cs"/>
          <w:sz w:val="24"/>
          <w:szCs w:val="24"/>
          <w:rtl/>
        </w:rPr>
        <w:t>קביעה בהחלטה מיום 30.6.21 ולפיה "חובות שנוצרו בחשבון הבנק המשותף לאחר מועד הקרע (סוף חודש 5/18) חלים על מי שיצר אותם בלבד..".</w:t>
      </w:r>
      <w:r w:rsidR="00DF08E8">
        <w:rPr>
          <w:rFonts w:ascii="David" w:hAnsi="David" w:cs="David" w:hint="cs"/>
          <w:sz w:val="24"/>
          <w:szCs w:val="24"/>
          <w:rtl/>
        </w:rPr>
        <w:t xml:space="preserve"> </w:t>
      </w:r>
      <w:r w:rsidR="00AF4AA5" w:rsidRPr="00DF08E8">
        <w:rPr>
          <w:rFonts w:ascii="David" w:hAnsi="David" w:cs="David" w:hint="cs"/>
          <w:sz w:val="24"/>
          <w:szCs w:val="24"/>
          <w:rtl/>
        </w:rPr>
        <w:t>לדבריו</w:t>
      </w:r>
      <w:r w:rsidR="00AF4AA5" w:rsidRPr="00DF08E8">
        <w:rPr>
          <w:rFonts w:ascii="David" w:hAnsi="David" w:cs="David"/>
          <w:sz w:val="24"/>
          <w:szCs w:val="24"/>
          <w:rtl/>
        </w:rPr>
        <w:t xml:space="preserve"> בחודשים 12/18-2/20, משכה ה</w:t>
      </w:r>
      <w:r w:rsidR="000F5E64">
        <w:rPr>
          <w:rFonts w:ascii="David" w:hAnsi="David" w:cs="David"/>
          <w:sz w:val="24"/>
          <w:szCs w:val="24"/>
          <w:rtl/>
        </w:rPr>
        <w:t>מ</w:t>
      </w:r>
      <w:r w:rsidR="000F5E64">
        <w:rPr>
          <w:rFonts w:ascii="David" w:hAnsi="David" w:cs="David" w:hint="cs"/>
          <w:sz w:val="24"/>
          <w:szCs w:val="24"/>
          <w:rtl/>
        </w:rPr>
        <w:t>בקשת</w:t>
      </w:r>
      <w:r w:rsidR="00AF4AA5" w:rsidRPr="00DF08E8">
        <w:rPr>
          <w:rFonts w:ascii="David" w:hAnsi="David" w:cs="David"/>
          <w:sz w:val="24"/>
          <w:szCs w:val="24"/>
          <w:rtl/>
        </w:rPr>
        <w:t xml:space="preserve"> מחשבון הבנק המשותף </w:t>
      </w:r>
      <w:r w:rsidR="00AF4AA5" w:rsidRPr="00DF08E8">
        <w:rPr>
          <w:rFonts w:ascii="David" w:hAnsi="David" w:cs="David" w:hint="cs"/>
          <w:sz w:val="24"/>
          <w:szCs w:val="24"/>
          <w:rtl/>
        </w:rPr>
        <w:t xml:space="preserve">סך </w:t>
      </w:r>
      <w:r w:rsidR="00AF4AA5" w:rsidRPr="00DF08E8">
        <w:rPr>
          <w:rFonts w:ascii="David" w:hAnsi="David" w:cs="David"/>
          <w:sz w:val="24"/>
          <w:szCs w:val="24"/>
          <w:rtl/>
        </w:rPr>
        <w:t xml:space="preserve">של 24,207 ₪ בעד רכישת כרטיסי טיסה וסך של 13,800 ₪ </w:t>
      </w:r>
      <w:r w:rsidR="00AF4AA5" w:rsidRPr="00DF08E8">
        <w:rPr>
          <w:rFonts w:ascii="David" w:hAnsi="David" w:cs="David" w:hint="cs"/>
          <w:sz w:val="24"/>
          <w:szCs w:val="24"/>
          <w:rtl/>
        </w:rPr>
        <w:t xml:space="preserve">משכה במזומן, </w:t>
      </w:r>
    </w:p>
    <w:p w:rsidR="00DF08E8" w:rsidRDefault="00DF08E8" w:rsidP="003C1256">
      <w:pPr>
        <w:pStyle w:val="ae"/>
        <w:spacing w:after="0" w:line="360" w:lineRule="auto"/>
        <w:ind w:left="714"/>
        <w:jc w:val="both"/>
        <w:rPr>
          <w:rFonts w:ascii="David" w:hAnsi="David" w:cs="David"/>
          <w:sz w:val="24"/>
          <w:szCs w:val="24"/>
        </w:rPr>
      </w:pPr>
    </w:p>
    <w:p w:rsidR="00EF1EFE" w:rsidRDefault="003B6299" w:rsidP="003C1256">
      <w:pPr>
        <w:pStyle w:val="ae"/>
        <w:numPr>
          <w:ilvl w:val="0"/>
          <w:numId w:val="1"/>
        </w:numPr>
        <w:spacing w:after="0" w:line="360" w:lineRule="auto"/>
        <w:ind w:left="714" w:hanging="357"/>
        <w:jc w:val="both"/>
        <w:rPr>
          <w:rFonts w:ascii="David" w:hAnsi="David" w:cs="David"/>
          <w:sz w:val="24"/>
          <w:szCs w:val="24"/>
        </w:rPr>
      </w:pPr>
      <w:r>
        <w:rPr>
          <w:rFonts w:ascii="David" w:hAnsi="David" w:cs="David" w:hint="cs"/>
          <w:sz w:val="24"/>
          <w:szCs w:val="24"/>
          <w:rtl/>
        </w:rPr>
        <w:t>תחילה טענה ה</w:t>
      </w:r>
      <w:r w:rsidR="00C71485">
        <w:rPr>
          <w:rFonts w:ascii="David" w:hAnsi="David" w:cs="David" w:hint="cs"/>
          <w:sz w:val="24"/>
          <w:szCs w:val="24"/>
          <w:rtl/>
        </w:rPr>
        <w:t>מבקשת</w:t>
      </w:r>
      <w:r>
        <w:rPr>
          <w:rFonts w:ascii="David" w:hAnsi="David" w:cs="David" w:hint="cs"/>
          <w:sz w:val="24"/>
          <w:szCs w:val="24"/>
          <w:rtl/>
        </w:rPr>
        <w:t xml:space="preserve"> שבית הדין "דן ופסק" בסוגיה תוך שהיא מפנה להחלטתו מיום 30.6.21. כן טענה שאת טענותיו לחיובה בחובות הנטענים שהצטברו לאחר הקרע על</w:t>
      </w:r>
      <w:r w:rsidR="002A21F2">
        <w:rPr>
          <w:rFonts w:ascii="David" w:hAnsi="David" w:cs="David" w:hint="cs"/>
          <w:sz w:val="24"/>
          <w:szCs w:val="24"/>
          <w:rtl/>
        </w:rPr>
        <w:t xml:space="preserve"> המשיב</w:t>
      </w:r>
      <w:r w:rsidR="00FF0A81">
        <w:rPr>
          <w:rFonts w:ascii="David" w:hAnsi="David" w:cs="David" w:hint="cs"/>
          <w:sz w:val="24"/>
          <w:szCs w:val="24"/>
          <w:rtl/>
        </w:rPr>
        <w:t xml:space="preserve"> לפרוש בתביעה חדשה </w:t>
      </w:r>
      <w:r>
        <w:rPr>
          <w:rFonts w:ascii="David" w:hAnsi="David" w:cs="David" w:hint="cs"/>
          <w:sz w:val="24"/>
          <w:szCs w:val="24"/>
          <w:rtl/>
        </w:rPr>
        <w:t xml:space="preserve">נפרדת </w:t>
      </w:r>
      <w:r w:rsidR="00FF0A81">
        <w:rPr>
          <w:rFonts w:ascii="David" w:hAnsi="David" w:cs="David" w:hint="cs"/>
          <w:sz w:val="24"/>
          <w:szCs w:val="24"/>
          <w:rtl/>
        </w:rPr>
        <w:t xml:space="preserve">שתוגש </w:t>
      </w:r>
      <w:r>
        <w:rPr>
          <w:rFonts w:ascii="David" w:hAnsi="David" w:cs="David" w:hint="cs"/>
          <w:sz w:val="24"/>
          <w:szCs w:val="24"/>
          <w:rtl/>
        </w:rPr>
        <w:t>לבית הדין הרבני לו הסמכות הנמשכת (סעיף 21 לבקשה מיום 23.1.24</w:t>
      </w:r>
      <w:r w:rsidR="00DF08E8">
        <w:rPr>
          <w:rFonts w:ascii="David" w:hAnsi="David" w:cs="David" w:hint="cs"/>
          <w:sz w:val="24"/>
          <w:szCs w:val="24"/>
          <w:rtl/>
        </w:rPr>
        <w:t>).</w:t>
      </w:r>
      <w:r w:rsidR="00CA318F">
        <w:rPr>
          <w:rFonts w:ascii="David" w:hAnsi="David" w:cs="David" w:hint="cs"/>
          <w:sz w:val="24"/>
          <w:szCs w:val="24"/>
          <w:rtl/>
        </w:rPr>
        <w:t xml:space="preserve"> על עמדתה שבית הדין דן ופסק עמדה ה</w:t>
      </w:r>
      <w:r w:rsidR="00C71485">
        <w:rPr>
          <w:rFonts w:ascii="David" w:hAnsi="David" w:cs="David" w:hint="cs"/>
          <w:sz w:val="24"/>
          <w:szCs w:val="24"/>
          <w:rtl/>
        </w:rPr>
        <w:t>מבקשת</w:t>
      </w:r>
      <w:r w:rsidR="00CA318F">
        <w:rPr>
          <w:rFonts w:ascii="David" w:hAnsi="David" w:cs="David" w:hint="cs"/>
          <w:sz w:val="24"/>
          <w:szCs w:val="24"/>
          <w:rtl/>
        </w:rPr>
        <w:t xml:space="preserve"> גם בתגובה מיום 3.4.24 ולאחר שה</w:t>
      </w:r>
      <w:r w:rsidR="00C71485">
        <w:rPr>
          <w:rFonts w:ascii="David" w:hAnsi="David" w:cs="David" w:hint="cs"/>
          <w:sz w:val="24"/>
          <w:szCs w:val="24"/>
          <w:rtl/>
        </w:rPr>
        <w:t>משיב</w:t>
      </w:r>
      <w:r w:rsidR="00CA318F">
        <w:rPr>
          <w:rFonts w:ascii="David" w:hAnsi="David" w:cs="David" w:hint="cs"/>
          <w:sz w:val="24"/>
          <w:szCs w:val="24"/>
          <w:rtl/>
        </w:rPr>
        <w:t xml:space="preserve"> הבהיר בתשובתו שהתיק בבית הדין נסגר מבלי שנדונו והוכרעו הסוגיות הרכושיות בין הצדדים ומבלי שניתן פסק דין. רק בתשובה מיום 14.4.24 התייחסה </w:t>
      </w:r>
      <w:r w:rsidR="00647EB3">
        <w:rPr>
          <w:rFonts w:ascii="David" w:hAnsi="David" w:cs="David" w:hint="cs"/>
          <w:sz w:val="24"/>
          <w:szCs w:val="24"/>
          <w:rtl/>
        </w:rPr>
        <w:t>ה</w:t>
      </w:r>
      <w:r w:rsidR="00C71485">
        <w:rPr>
          <w:rFonts w:ascii="David" w:hAnsi="David" w:cs="David" w:hint="cs"/>
          <w:sz w:val="24"/>
          <w:szCs w:val="24"/>
          <w:rtl/>
        </w:rPr>
        <w:t>מבקשת</w:t>
      </w:r>
      <w:r w:rsidR="00647EB3">
        <w:rPr>
          <w:rFonts w:ascii="David" w:hAnsi="David" w:cs="David" w:hint="cs"/>
          <w:sz w:val="24"/>
          <w:szCs w:val="24"/>
          <w:rtl/>
        </w:rPr>
        <w:t xml:space="preserve"> </w:t>
      </w:r>
      <w:r w:rsidR="00CA318F">
        <w:rPr>
          <w:rFonts w:ascii="David" w:hAnsi="David" w:cs="David" w:hint="cs"/>
          <w:sz w:val="24"/>
          <w:szCs w:val="24"/>
          <w:rtl/>
        </w:rPr>
        <w:t>לעובדה שהתיק נסגר ללא הכרעה וטענה שסגירת התיק בבית הדין היא "סגירה פורמאלית"</w:t>
      </w:r>
      <w:r w:rsidR="00837DB7">
        <w:rPr>
          <w:rFonts w:ascii="David" w:hAnsi="David" w:cs="David" w:hint="cs"/>
          <w:sz w:val="24"/>
          <w:szCs w:val="24"/>
          <w:rtl/>
        </w:rPr>
        <w:t xml:space="preserve"> שבמהותה מקפיאה את ההליך. </w:t>
      </w:r>
      <w:r w:rsidR="00EF1EFE">
        <w:rPr>
          <w:rFonts w:ascii="David" w:hAnsi="David" w:cs="David" w:hint="cs"/>
          <w:sz w:val="24"/>
          <w:szCs w:val="24"/>
          <w:rtl/>
        </w:rPr>
        <w:t xml:space="preserve">קרי, </w:t>
      </w:r>
      <w:r w:rsidR="00647EB3">
        <w:rPr>
          <w:rFonts w:ascii="David" w:hAnsi="David" w:cs="David" w:hint="cs"/>
          <w:sz w:val="24"/>
          <w:szCs w:val="24"/>
          <w:rtl/>
        </w:rPr>
        <w:t>ש</w:t>
      </w:r>
      <w:r w:rsidR="00EF1EFE">
        <w:rPr>
          <w:rFonts w:ascii="David" w:hAnsi="David" w:cs="David" w:hint="cs"/>
          <w:sz w:val="24"/>
          <w:szCs w:val="24"/>
          <w:rtl/>
        </w:rPr>
        <w:t xml:space="preserve">לא נדרשת הגשת </w:t>
      </w:r>
      <w:r w:rsidR="00FF0A81">
        <w:rPr>
          <w:rFonts w:ascii="David" w:hAnsi="David" w:cs="David" w:hint="cs"/>
          <w:sz w:val="24"/>
          <w:szCs w:val="24"/>
          <w:rtl/>
        </w:rPr>
        <w:t>תביעה</w:t>
      </w:r>
      <w:r w:rsidR="00EF1EFE">
        <w:rPr>
          <w:rFonts w:ascii="David" w:hAnsi="David" w:cs="David" w:hint="cs"/>
          <w:sz w:val="24"/>
          <w:szCs w:val="24"/>
          <w:rtl/>
        </w:rPr>
        <w:t xml:space="preserve"> חדשה </w:t>
      </w:r>
      <w:r w:rsidR="00647EB3">
        <w:rPr>
          <w:rFonts w:ascii="David" w:hAnsi="David" w:cs="David" w:hint="cs"/>
          <w:sz w:val="24"/>
          <w:szCs w:val="24"/>
          <w:rtl/>
        </w:rPr>
        <w:t xml:space="preserve">(כפי שטענה תחילה) </w:t>
      </w:r>
      <w:r w:rsidR="00EF1EFE">
        <w:rPr>
          <w:rFonts w:ascii="David" w:hAnsi="David" w:cs="David" w:hint="cs"/>
          <w:sz w:val="24"/>
          <w:szCs w:val="24"/>
          <w:rtl/>
        </w:rPr>
        <w:t xml:space="preserve">אלא </w:t>
      </w:r>
      <w:r w:rsidR="000F5E64">
        <w:rPr>
          <w:rFonts w:ascii="David" w:hAnsi="David" w:cs="David" w:hint="cs"/>
          <w:sz w:val="24"/>
          <w:szCs w:val="24"/>
          <w:rtl/>
        </w:rPr>
        <w:t xml:space="preserve">נדרש </w:t>
      </w:r>
      <w:r w:rsidR="00EF1EFE">
        <w:rPr>
          <w:rFonts w:ascii="David" w:hAnsi="David" w:cs="David" w:hint="cs"/>
          <w:sz w:val="24"/>
          <w:szCs w:val="24"/>
          <w:rtl/>
        </w:rPr>
        <w:t>אך להחיות את ההליך.</w:t>
      </w:r>
    </w:p>
    <w:p w:rsidR="00647EB3" w:rsidRPr="00647EB3" w:rsidRDefault="00647EB3" w:rsidP="003C1256">
      <w:pPr>
        <w:pStyle w:val="ae"/>
        <w:spacing w:after="0" w:line="360" w:lineRule="auto"/>
        <w:rPr>
          <w:rFonts w:ascii="David" w:hAnsi="David" w:cs="David"/>
          <w:sz w:val="24"/>
          <w:szCs w:val="24"/>
          <w:rtl/>
        </w:rPr>
      </w:pPr>
    </w:p>
    <w:p w:rsidR="00647EB3" w:rsidRDefault="00647EB3" w:rsidP="003C1256">
      <w:pPr>
        <w:pStyle w:val="ae"/>
        <w:spacing w:after="0" w:line="360" w:lineRule="auto"/>
        <w:ind w:left="714"/>
        <w:jc w:val="both"/>
        <w:rPr>
          <w:rFonts w:ascii="David" w:hAnsi="David" w:cs="David"/>
          <w:sz w:val="24"/>
          <w:szCs w:val="24"/>
        </w:rPr>
      </w:pPr>
    </w:p>
    <w:p w:rsidR="003B6299" w:rsidRPr="00647EB3" w:rsidRDefault="00837DB7" w:rsidP="003C1256">
      <w:pPr>
        <w:pStyle w:val="ae"/>
        <w:numPr>
          <w:ilvl w:val="0"/>
          <w:numId w:val="1"/>
        </w:numPr>
        <w:spacing w:after="0" w:line="360" w:lineRule="auto"/>
        <w:jc w:val="both"/>
        <w:rPr>
          <w:rFonts w:ascii="David" w:hAnsi="David" w:cs="David"/>
          <w:sz w:val="24"/>
          <w:szCs w:val="24"/>
        </w:rPr>
      </w:pPr>
      <w:r w:rsidRPr="00647EB3">
        <w:rPr>
          <w:rFonts w:ascii="David" w:hAnsi="David" w:cs="David"/>
          <w:sz w:val="24"/>
          <w:szCs w:val="24"/>
          <w:rtl/>
        </w:rPr>
        <w:lastRenderedPageBreak/>
        <w:t xml:space="preserve">בתגובתה מיום 19.5.24 פירטה </w:t>
      </w:r>
      <w:r w:rsidR="00647EB3" w:rsidRPr="00647EB3">
        <w:rPr>
          <w:rFonts w:ascii="David" w:hAnsi="David" w:cs="David"/>
          <w:sz w:val="24"/>
          <w:szCs w:val="24"/>
          <w:rtl/>
        </w:rPr>
        <w:t>ה</w:t>
      </w:r>
      <w:r w:rsidR="00C71485">
        <w:rPr>
          <w:rFonts w:ascii="David" w:hAnsi="David" w:cs="David"/>
          <w:sz w:val="24"/>
          <w:szCs w:val="24"/>
          <w:rtl/>
        </w:rPr>
        <w:t>מבקשת</w:t>
      </w:r>
      <w:r w:rsidR="00647EB3" w:rsidRPr="00647EB3">
        <w:rPr>
          <w:rFonts w:ascii="David" w:hAnsi="David" w:cs="David"/>
          <w:sz w:val="24"/>
          <w:szCs w:val="24"/>
          <w:rtl/>
        </w:rPr>
        <w:t xml:space="preserve"> </w:t>
      </w:r>
      <w:r w:rsidR="000D0B31" w:rsidRPr="00647EB3">
        <w:rPr>
          <w:rFonts w:ascii="David" w:hAnsi="David" w:cs="David"/>
          <w:sz w:val="24"/>
          <w:szCs w:val="24"/>
          <w:rtl/>
        </w:rPr>
        <w:t>ש</w:t>
      </w:r>
      <w:r w:rsidR="00647EB3" w:rsidRPr="00647EB3">
        <w:rPr>
          <w:rFonts w:ascii="David" w:hAnsi="David" w:cs="David"/>
          <w:sz w:val="24"/>
          <w:szCs w:val="24"/>
          <w:rtl/>
        </w:rPr>
        <w:t xml:space="preserve">היא </w:t>
      </w:r>
      <w:r w:rsidR="000D0B31" w:rsidRPr="00647EB3">
        <w:rPr>
          <w:rFonts w:ascii="David" w:hAnsi="David" w:cs="David"/>
          <w:sz w:val="24"/>
          <w:szCs w:val="24"/>
          <w:rtl/>
        </w:rPr>
        <w:t>עתרה לבית הדין</w:t>
      </w:r>
      <w:r w:rsidRPr="00647EB3">
        <w:rPr>
          <w:rFonts w:ascii="David" w:hAnsi="David" w:cs="David"/>
          <w:sz w:val="24"/>
          <w:szCs w:val="24"/>
          <w:rtl/>
        </w:rPr>
        <w:t xml:space="preserve"> </w:t>
      </w:r>
      <w:r w:rsidR="00EF1EFE" w:rsidRPr="00647EB3">
        <w:rPr>
          <w:rFonts w:ascii="David" w:hAnsi="David" w:cs="David"/>
          <w:sz w:val="24"/>
          <w:szCs w:val="24"/>
          <w:rtl/>
        </w:rPr>
        <w:t>ב</w:t>
      </w:r>
      <w:r w:rsidR="000D0B31" w:rsidRPr="00647EB3">
        <w:rPr>
          <w:rFonts w:ascii="David" w:hAnsi="David" w:cs="David"/>
          <w:sz w:val="24"/>
          <w:szCs w:val="24"/>
          <w:rtl/>
        </w:rPr>
        <w:t>בקש</w:t>
      </w:r>
      <w:r w:rsidRPr="00647EB3">
        <w:rPr>
          <w:rFonts w:ascii="David" w:hAnsi="David" w:cs="David"/>
          <w:sz w:val="24"/>
          <w:szCs w:val="24"/>
          <w:rtl/>
        </w:rPr>
        <w:t xml:space="preserve">ה </w:t>
      </w:r>
      <w:r w:rsidR="000D0B31" w:rsidRPr="00647EB3">
        <w:rPr>
          <w:rFonts w:ascii="David" w:hAnsi="David" w:cs="David"/>
          <w:sz w:val="24"/>
          <w:szCs w:val="24"/>
          <w:rtl/>
        </w:rPr>
        <w:t xml:space="preserve">לפתוח את התיק (אותה לא צירפה לתגובתה) </w:t>
      </w:r>
      <w:r w:rsidRPr="00647EB3">
        <w:rPr>
          <w:rFonts w:ascii="David" w:hAnsi="David" w:cs="David"/>
          <w:sz w:val="24"/>
          <w:szCs w:val="24"/>
          <w:rtl/>
        </w:rPr>
        <w:t>ובהחלטה מיום 17.5.24 נקבע</w:t>
      </w:r>
      <w:r w:rsidR="00647EB3" w:rsidRPr="00647EB3">
        <w:rPr>
          <w:rFonts w:ascii="David" w:hAnsi="David" w:cs="David"/>
          <w:sz w:val="24"/>
          <w:szCs w:val="24"/>
          <w:rtl/>
        </w:rPr>
        <w:t xml:space="preserve"> על ידי בית הדין</w:t>
      </w:r>
      <w:r w:rsidRPr="00647EB3">
        <w:rPr>
          <w:rFonts w:ascii="David" w:hAnsi="David" w:cs="David"/>
          <w:sz w:val="24"/>
          <w:szCs w:val="24"/>
          <w:rtl/>
        </w:rPr>
        <w:t>: "בהתייחס לתביעה לחלוקת רכוש ולשאלה המקדמית אודות הסמכות, הנידונת בביהמ"ש, יובהר: מאחר שביהמ"ש כבר החל לדון בשאלה מקדמית זו, בנסיבות אלו בית הדין נמנע מלהתייחס לשאלה זו, ועם קבלת ההחלטה בביהמ"ש יש להעביר לעיון בית הדין עותק מההחלטה".</w:t>
      </w:r>
    </w:p>
    <w:p w:rsidR="00837DB7" w:rsidRPr="00647EB3" w:rsidRDefault="00837DB7" w:rsidP="003C1256">
      <w:pPr>
        <w:pStyle w:val="ae"/>
        <w:spacing w:after="0" w:line="360" w:lineRule="auto"/>
        <w:rPr>
          <w:rFonts w:ascii="David" w:hAnsi="David" w:cs="David"/>
          <w:sz w:val="24"/>
          <w:szCs w:val="24"/>
          <w:rtl/>
        </w:rPr>
      </w:pPr>
    </w:p>
    <w:p w:rsidR="000D0B31" w:rsidRDefault="000D0B31" w:rsidP="003C1256">
      <w:pPr>
        <w:pStyle w:val="ae"/>
        <w:numPr>
          <w:ilvl w:val="0"/>
          <w:numId w:val="1"/>
        </w:numPr>
        <w:spacing w:after="0" w:line="360" w:lineRule="auto"/>
        <w:ind w:left="714" w:hanging="357"/>
        <w:jc w:val="both"/>
        <w:rPr>
          <w:rFonts w:ascii="David" w:hAnsi="David" w:cs="David"/>
          <w:sz w:val="24"/>
          <w:szCs w:val="24"/>
        </w:rPr>
      </w:pPr>
      <w:r w:rsidRPr="00647EB3">
        <w:rPr>
          <w:rFonts w:ascii="David" w:hAnsi="David" w:cs="David"/>
          <w:sz w:val="24"/>
          <w:szCs w:val="24"/>
          <w:rtl/>
        </w:rPr>
        <w:t>ל</w:t>
      </w:r>
      <w:r w:rsidR="00837DB7" w:rsidRPr="00647EB3">
        <w:rPr>
          <w:rFonts w:ascii="David" w:hAnsi="David" w:cs="David"/>
          <w:sz w:val="24"/>
          <w:szCs w:val="24"/>
          <w:rtl/>
        </w:rPr>
        <w:t xml:space="preserve">תשובתו </w:t>
      </w:r>
      <w:r w:rsidR="00647EB3">
        <w:rPr>
          <w:rFonts w:ascii="David" w:hAnsi="David" w:cs="David" w:hint="cs"/>
          <w:sz w:val="24"/>
          <w:szCs w:val="24"/>
          <w:rtl/>
        </w:rPr>
        <w:t xml:space="preserve">מיום 19.5.24 </w:t>
      </w:r>
      <w:r w:rsidRPr="00647EB3">
        <w:rPr>
          <w:rFonts w:ascii="David" w:hAnsi="David" w:cs="David"/>
          <w:sz w:val="24"/>
          <w:szCs w:val="24"/>
          <w:rtl/>
        </w:rPr>
        <w:t>צירף המשיב את הבקשה שהגישה המבקשת לבית הדין הרבני בה ביקשה מתן</w:t>
      </w:r>
      <w:r>
        <w:rPr>
          <w:rFonts w:ascii="David" w:hAnsi="David" w:cs="David" w:hint="cs"/>
          <w:sz w:val="24"/>
          <w:szCs w:val="24"/>
          <w:rtl/>
        </w:rPr>
        <w:t xml:space="preserve"> החלטה שתקבע שהתיק </w:t>
      </w:r>
      <w:r w:rsidR="000F5E64">
        <w:rPr>
          <w:rFonts w:ascii="David" w:hAnsi="David" w:cs="David" w:hint="cs"/>
          <w:sz w:val="24"/>
          <w:szCs w:val="24"/>
          <w:rtl/>
        </w:rPr>
        <w:t>"</w:t>
      </w:r>
      <w:r>
        <w:rPr>
          <w:rFonts w:ascii="David" w:hAnsi="David" w:cs="David" w:hint="cs"/>
          <w:sz w:val="24"/>
          <w:szCs w:val="24"/>
          <w:rtl/>
        </w:rPr>
        <w:t xml:space="preserve">נסגר באופן פורמאלי בלבד ואין מניעה להחיותו ולהמשיך את ההליכים המתקיימים מהמקום בו הם נפסקו". לטענת המשיב </w:t>
      </w:r>
      <w:r w:rsidR="00837DB7">
        <w:rPr>
          <w:rFonts w:ascii="David" w:hAnsi="David" w:cs="David" w:hint="cs"/>
          <w:sz w:val="24"/>
          <w:szCs w:val="24"/>
          <w:rtl/>
        </w:rPr>
        <w:t xml:space="preserve">ההחלטה האמורה שיצאה מלפני בית הדין ביום 17.5.24 מתייחסת (בסעיף הראשון שבה) להליך הנוגע לקטינים </w:t>
      </w:r>
      <w:r w:rsidR="00837DB7">
        <w:rPr>
          <w:rFonts w:ascii="David" w:hAnsi="David" w:cs="David"/>
          <w:sz w:val="24"/>
          <w:szCs w:val="24"/>
          <w:rtl/>
        </w:rPr>
        <w:t>–</w:t>
      </w:r>
      <w:r w:rsidR="00837DB7">
        <w:rPr>
          <w:rFonts w:ascii="David" w:hAnsi="David" w:cs="David" w:hint="cs"/>
          <w:sz w:val="24"/>
          <w:szCs w:val="24"/>
          <w:rtl/>
        </w:rPr>
        <w:t xml:space="preserve"> אשר מעולם לא נסגר </w:t>
      </w:r>
      <w:r w:rsidR="00837DB7">
        <w:rPr>
          <w:rFonts w:ascii="David" w:hAnsi="David" w:cs="David"/>
          <w:sz w:val="24"/>
          <w:szCs w:val="24"/>
          <w:rtl/>
        </w:rPr>
        <w:t>–</w:t>
      </w:r>
      <w:r w:rsidR="00837DB7">
        <w:rPr>
          <w:rFonts w:ascii="David" w:hAnsi="David" w:cs="David" w:hint="cs"/>
          <w:sz w:val="24"/>
          <w:szCs w:val="24"/>
          <w:rtl/>
        </w:rPr>
        <w:t xml:space="preserve"> ורק בסעיף השני שלה בנוגע להליך ה</w:t>
      </w:r>
      <w:r w:rsidR="00E15BB0">
        <w:rPr>
          <w:rFonts w:ascii="David" w:hAnsi="David" w:cs="David" w:hint="cs"/>
          <w:sz w:val="24"/>
          <w:szCs w:val="24"/>
          <w:rtl/>
        </w:rPr>
        <w:t>רכושי</w:t>
      </w:r>
      <w:r>
        <w:rPr>
          <w:rFonts w:ascii="David" w:hAnsi="David" w:cs="David" w:hint="cs"/>
          <w:sz w:val="24"/>
          <w:szCs w:val="24"/>
          <w:rtl/>
        </w:rPr>
        <w:t xml:space="preserve"> ומכאן שאין ללמוד ממנה על פתיחת התיק הרכושי</w:t>
      </w:r>
      <w:r w:rsidR="00E15BB0">
        <w:rPr>
          <w:rFonts w:ascii="David" w:hAnsi="David" w:cs="David" w:hint="cs"/>
          <w:sz w:val="24"/>
          <w:szCs w:val="24"/>
          <w:rtl/>
        </w:rPr>
        <w:t>.</w:t>
      </w:r>
    </w:p>
    <w:p w:rsidR="00BD51D6" w:rsidRPr="00BD51D6" w:rsidRDefault="000D0B31" w:rsidP="003C1256">
      <w:pPr>
        <w:pStyle w:val="ae"/>
        <w:spacing w:after="0" w:line="360" w:lineRule="auto"/>
        <w:ind w:left="714"/>
        <w:jc w:val="both"/>
        <w:rPr>
          <w:rFonts w:ascii="David" w:hAnsi="David" w:cs="David"/>
          <w:sz w:val="24"/>
          <w:szCs w:val="24"/>
          <w:rtl/>
        </w:rPr>
      </w:pPr>
      <w:r w:rsidRPr="00BD51D6">
        <w:rPr>
          <w:rFonts w:ascii="David" w:hAnsi="David" w:cs="David" w:hint="cs"/>
          <w:sz w:val="24"/>
          <w:szCs w:val="24"/>
          <w:rtl/>
        </w:rPr>
        <w:t xml:space="preserve"> </w:t>
      </w:r>
    </w:p>
    <w:p w:rsidR="0088037D" w:rsidRDefault="00B15459" w:rsidP="003C1256">
      <w:pPr>
        <w:pStyle w:val="ae"/>
        <w:numPr>
          <w:ilvl w:val="0"/>
          <w:numId w:val="1"/>
        </w:numPr>
        <w:spacing w:after="0" w:line="360" w:lineRule="auto"/>
        <w:ind w:left="714" w:hanging="357"/>
        <w:jc w:val="both"/>
        <w:rPr>
          <w:rFonts w:ascii="David" w:hAnsi="David" w:cs="David"/>
          <w:sz w:val="24"/>
          <w:szCs w:val="24"/>
        </w:rPr>
      </w:pPr>
      <w:r>
        <w:rPr>
          <w:rFonts w:ascii="David" w:hAnsi="David" w:cs="David" w:hint="cs"/>
          <w:sz w:val="24"/>
          <w:szCs w:val="24"/>
          <w:rtl/>
        </w:rPr>
        <w:t>המחלוקת</w:t>
      </w:r>
      <w:r w:rsidR="00BD51D6" w:rsidRPr="00DA6659">
        <w:rPr>
          <w:rFonts w:ascii="David" w:hAnsi="David" w:cs="David" w:hint="cs"/>
          <w:sz w:val="24"/>
          <w:szCs w:val="24"/>
          <w:rtl/>
        </w:rPr>
        <w:t xml:space="preserve"> בין הצדדים </w:t>
      </w:r>
      <w:r>
        <w:rPr>
          <w:rFonts w:ascii="David" w:hAnsi="David" w:cs="David" w:hint="cs"/>
          <w:sz w:val="24"/>
          <w:szCs w:val="24"/>
          <w:rtl/>
        </w:rPr>
        <w:t xml:space="preserve">נוגעת אפוא בשאלת פירוש </w:t>
      </w:r>
      <w:r w:rsidR="00BD51D6" w:rsidRPr="00DA6659">
        <w:rPr>
          <w:rFonts w:ascii="David" w:hAnsi="David" w:cs="David" w:hint="cs"/>
          <w:sz w:val="24"/>
          <w:szCs w:val="24"/>
          <w:rtl/>
        </w:rPr>
        <w:t xml:space="preserve">החלטת בית הדין מיום </w:t>
      </w:r>
      <w:r w:rsidR="008A15FC" w:rsidRPr="00DA6659">
        <w:rPr>
          <w:rFonts w:ascii="David" w:hAnsi="David" w:cs="David" w:hint="cs"/>
          <w:sz w:val="24"/>
          <w:szCs w:val="24"/>
          <w:rtl/>
        </w:rPr>
        <w:t>22.6.23</w:t>
      </w:r>
      <w:r w:rsidR="00BD51D6" w:rsidRPr="00DA6659">
        <w:rPr>
          <w:rFonts w:ascii="David" w:hAnsi="David" w:cs="David" w:hint="cs"/>
          <w:sz w:val="24"/>
          <w:szCs w:val="24"/>
          <w:rtl/>
        </w:rPr>
        <w:t xml:space="preserve"> שהורתה על </w:t>
      </w:r>
      <w:r w:rsidR="008A15FC" w:rsidRPr="00DA6659">
        <w:rPr>
          <w:rFonts w:ascii="David" w:hAnsi="David" w:cs="David" w:hint="cs"/>
          <w:sz w:val="24"/>
          <w:szCs w:val="24"/>
          <w:rtl/>
        </w:rPr>
        <w:t xml:space="preserve">סיום הטיפול בתיק וסגירתו </w:t>
      </w:r>
      <w:r>
        <w:rPr>
          <w:rFonts w:ascii="David" w:hAnsi="David" w:cs="David" w:hint="cs"/>
          <w:sz w:val="24"/>
          <w:szCs w:val="24"/>
          <w:rtl/>
        </w:rPr>
        <w:t>והאם משמעותה</w:t>
      </w:r>
      <w:r w:rsidR="00DA6659" w:rsidRPr="00DA6659">
        <w:rPr>
          <w:rFonts w:ascii="David" w:hAnsi="David" w:cs="David" w:hint="cs"/>
          <w:sz w:val="24"/>
          <w:szCs w:val="24"/>
          <w:rtl/>
        </w:rPr>
        <w:t xml:space="preserve"> סילוק התביעה ומחיקתה, כטענת ה</w:t>
      </w:r>
      <w:r w:rsidR="00C71485">
        <w:rPr>
          <w:rFonts w:ascii="David" w:hAnsi="David" w:cs="David" w:hint="cs"/>
          <w:sz w:val="24"/>
          <w:szCs w:val="24"/>
          <w:rtl/>
        </w:rPr>
        <w:t>משיב</w:t>
      </w:r>
      <w:r w:rsidR="00DA6659" w:rsidRPr="00DA6659">
        <w:rPr>
          <w:rFonts w:ascii="David" w:hAnsi="David" w:cs="David" w:hint="cs"/>
          <w:sz w:val="24"/>
          <w:szCs w:val="24"/>
          <w:rtl/>
        </w:rPr>
        <w:t xml:space="preserve">, </w:t>
      </w:r>
      <w:r w:rsidR="00EF1EFE" w:rsidRPr="00DA6659">
        <w:rPr>
          <w:rFonts w:ascii="David" w:hAnsi="David" w:cs="David" w:hint="cs"/>
          <w:sz w:val="24"/>
          <w:szCs w:val="24"/>
          <w:rtl/>
        </w:rPr>
        <w:t xml:space="preserve">או האם משמעותה "הרדמת התיק" </w:t>
      </w:r>
      <w:r w:rsidR="00DA6659" w:rsidRPr="00DA6659">
        <w:rPr>
          <w:rFonts w:ascii="David" w:hAnsi="David" w:cs="David" w:hint="cs"/>
          <w:sz w:val="24"/>
          <w:szCs w:val="24"/>
          <w:rtl/>
        </w:rPr>
        <w:t>כך שניתן</w:t>
      </w:r>
      <w:r w:rsidR="00EF1EFE" w:rsidRPr="00DA6659">
        <w:rPr>
          <w:rFonts w:ascii="David" w:hAnsi="David" w:cs="David" w:hint="cs"/>
          <w:sz w:val="24"/>
          <w:szCs w:val="24"/>
          <w:rtl/>
        </w:rPr>
        <w:t xml:space="preserve"> להחיותו מחדש</w:t>
      </w:r>
      <w:r>
        <w:rPr>
          <w:rFonts w:ascii="David" w:hAnsi="David" w:cs="David" w:hint="cs"/>
          <w:sz w:val="24"/>
          <w:szCs w:val="24"/>
          <w:rtl/>
        </w:rPr>
        <w:t xml:space="preserve"> כטענת המבקשת.</w:t>
      </w:r>
    </w:p>
    <w:p w:rsidR="0088037D" w:rsidRPr="0088037D" w:rsidRDefault="0088037D" w:rsidP="003C1256">
      <w:pPr>
        <w:pStyle w:val="ae"/>
        <w:spacing w:after="0" w:line="360" w:lineRule="auto"/>
        <w:rPr>
          <w:rFonts w:ascii="David" w:hAnsi="David" w:cs="David"/>
          <w:sz w:val="24"/>
          <w:szCs w:val="24"/>
          <w:rtl/>
        </w:rPr>
      </w:pPr>
    </w:p>
    <w:p w:rsidR="00EF0456" w:rsidRDefault="00E7299D" w:rsidP="003C1256">
      <w:pPr>
        <w:pStyle w:val="ae"/>
        <w:numPr>
          <w:ilvl w:val="0"/>
          <w:numId w:val="1"/>
        </w:numPr>
        <w:spacing w:after="0" w:line="360" w:lineRule="auto"/>
        <w:ind w:left="714" w:hanging="357"/>
        <w:jc w:val="both"/>
        <w:rPr>
          <w:rFonts w:ascii="David" w:hAnsi="David" w:cs="David"/>
          <w:sz w:val="24"/>
          <w:szCs w:val="24"/>
        </w:rPr>
      </w:pPr>
      <w:r>
        <w:rPr>
          <w:rFonts w:ascii="David" w:hAnsi="David" w:cs="David" w:hint="cs"/>
          <w:sz w:val="24"/>
          <w:szCs w:val="24"/>
          <w:rtl/>
        </w:rPr>
        <w:t>ניתן להצביע על שני זרמים בפסיקה לגבי פירוש החלטה של בתי הדין הרבניים בדבר "סגירת תיק" המתנהל בפניו. יש ש</w:t>
      </w:r>
      <w:r w:rsidR="00AA3935">
        <w:rPr>
          <w:rFonts w:ascii="David" w:hAnsi="David" w:cs="David" w:hint="cs"/>
          <w:sz w:val="24"/>
          <w:szCs w:val="24"/>
          <w:rtl/>
        </w:rPr>
        <w:t xml:space="preserve">פירשו את סגירת התיק </w:t>
      </w:r>
      <w:r w:rsidR="00AA3935" w:rsidRPr="00EF0456">
        <w:rPr>
          <w:rFonts w:ascii="David" w:hAnsi="David" w:cs="David"/>
          <w:sz w:val="24"/>
          <w:szCs w:val="24"/>
          <w:rtl/>
        </w:rPr>
        <w:t>כהחלטת ביניים "המקפיאה" את התיק באופן שסמכות בית הדין נמשכת</w:t>
      </w:r>
      <w:r w:rsidR="00DA6659" w:rsidRPr="0088037D">
        <w:rPr>
          <w:rFonts w:ascii="David" w:hAnsi="David" w:cs="David"/>
          <w:sz w:val="24"/>
          <w:szCs w:val="24"/>
          <w:rtl/>
        </w:rPr>
        <w:t xml:space="preserve"> [</w:t>
      </w:r>
      <w:r w:rsidR="007629BE" w:rsidRPr="0088037D">
        <w:rPr>
          <w:rFonts w:ascii="David" w:hAnsi="David" w:cs="David"/>
          <w:sz w:val="24"/>
          <w:szCs w:val="24"/>
          <w:rtl/>
        </w:rPr>
        <w:t xml:space="preserve">ראו: </w:t>
      </w:r>
      <w:hyperlink r:id="rId10" w:history="1">
        <w:r w:rsidR="007629BE" w:rsidRPr="0088037D">
          <w:rPr>
            <w:rStyle w:val="Hyperlink"/>
            <w:rFonts w:ascii="David" w:hAnsi="David" w:cs="David"/>
            <w:color w:val="auto"/>
            <w:sz w:val="24"/>
            <w:szCs w:val="24"/>
            <w:u w:val="none"/>
            <w:rtl/>
          </w:rPr>
          <w:t xml:space="preserve">ע"א 275/72 </w:t>
        </w:r>
        <w:r w:rsidR="007629BE" w:rsidRPr="0088037D">
          <w:rPr>
            <w:rStyle w:val="Hyperlink"/>
            <w:rFonts w:ascii="David" w:hAnsi="David" w:cs="David"/>
            <w:b/>
            <w:bCs/>
            <w:color w:val="auto"/>
            <w:sz w:val="24"/>
            <w:szCs w:val="24"/>
            <w:u w:val="none"/>
            <w:rtl/>
          </w:rPr>
          <w:t xml:space="preserve">בן-נעים נ' בן-נעים </w:t>
        </w:r>
        <w:r w:rsidR="007629BE" w:rsidRPr="0088037D">
          <w:rPr>
            <w:rStyle w:val="Hyperlink"/>
            <w:rFonts w:ascii="David" w:hAnsi="David" w:cs="David"/>
            <w:color w:val="auto"/>
            <w:sz w:val="24"/>
            <w:szCs w:val="24"/>
            <w:u w:val="none"/>
            <w:rtl/>
          </w:rPr>
          <w:t>פ"ד כו</w:t>
        </w:r>
      </w:hyperlink>
      <w:r w:rsidR="007629BE" w:rsidRPr="0088037D">
        <w:rPr>
          <w:rFonts w:ascii="David" w:hAnsi="David" w:cs="David"/>
          <w:sz w:val="24"/>
          <w:szCs w:val="24"/>
          <w:rtl/>
        </w:rPr>
        <w:t>(2), 818</w:t>
      </w:r>
      <w:r>
        <w:rPr>
          <w:rFonts w:ascii="David" w:hAnsi="David" w:cs="David" w:hint="cs"/>
          <w:sz w:val="24"/>
          <w:szCs w:val="24"/>
          <w:rtl/>
        </w:rPr>
        <w:t>,</w:t>
      </w:r>
      <w:r w:rsidR="007629BE" w:rsidRPr="0088037D">
        <w:rPr>
          <w:rFonts w:ascii="David" w:hAnsi="David" w:cs="David"/>
          <w:sz w:val="24"/>
          <w:szCs w:val="24"/>
          <w:rtl/>
        </w:rPr>
        <w:t xml:space="preserve"> עמ' 820-821</w:t>
      </w:r>
      <w:r w:rsidR="0088037D" w:rsidRPr="0088037D">
        <w:rPr>
          <w:rFonts w:ascii="David" w:hAnsi="David" w:cs="David"/>
          <w:sz w:val="24"/>
          <w:szCs w:val="24"/>
          <w:rtl/>
        </w:rPr>
        <w:t xml:space="preserve">; </w:t>
      </w:r>
      <w:hyperlink r:id="rId11" w:history="1">
        <w:r w:rsidR="0088037D" w:rsidRPr="0088037D">
          <w:rPr>
            <w:rStyle w:val="Hyperlink"/>
            <w:rFonts w:ascii="David" w:hAnsi="David" w:cs="David"/>
            <w:b/>
            <w:bCs/>
            <w:color w:val="auto"/>
            <w:sz w:val="24"/>
            <w:szCs w:val="24"/>
            <w:u w:val="none"/>
            <w:rtl/>
          </w:rPr>
          <w:t>ע"א 756/85 יעקב נ' יעקב</w:t>
        </w:r>
        <w:r w:rsidR="0088037D" w:rsidRPr="0088037D">
          <w:rPr>
            <w:rStyle w:val="Hyperlink"/>
            <w:rFonts w:ascii="David" w:hAnsi="David" w:cs="David" w:hint="cs"/>
            <w:color w:val="auto"/>
            <w:sz w:val="24"/>
            <w:szCs w:val="24"/>
            <w:u w:val="none"/>
            <w:rtl/>
          </w:rPr>
          <w:t>;</w:t>
        </w:r>
        <w:r w:rsidR="0088037D" w:rsidRPr="0088037D">
          <w:rPr>
            <w:rStyle w:val="Hyperlink"/>
            <w:rFonts w:ascii="David" w:hAnsi="David" w:cs="David"/>
            <w:color w:val="auto"/>
            <w:sz w:val="24"/>
            <w:szCs w:val="24"/>
            <w:u w:val="none"/>
            <w:rtl/>
          </w:rPr>
          <w:t xml:space="preserve"> פ"ד מ</w:t>
        </w:r>
      </w:hyperlink>
      <w:r w:rsidR="0088037D" w:rsidRPr="0088037D">
        <w:rPr>
          <w:rFonts w:ascii="David" w:hAnsi="David" w:cs="David"/>
          <w:sz w:val="24"/>
          <w:szCs w:val="24"/>
          <w:rtl/>
        </w:rPr>
        <w:t xml:space="preserve">(2), 637 ,עמ' 638-639]. </w:t>
      </w:r>
      <w:r>
        <w:rPr>
          <w:rFonts w:ascii="David" w:hAnsi="David" w:cs="David" w:hint="cs"/>
          <w:sz w:val="24"/>
          <w:szCs w:val="24"/>
          <w:rtl/>
        </w:rPr>
        <w:t xml:space="preserve">ויש שפירשו את ההחלטה כמחיקת התביעה או דחייתה באופן שמפקיע את סמכות בית הדין </w:t>
      </w:r>
      <w:r w:rsidR="0088037D">
        <w:rPr>
          <w:rFonts w:ascii="David" w:hAnsi="David" w:cs="David" w:hint="cs"/>
          <w:sz w:val="24"/>
          <w:szCs w:val="24"/>
          <w:rtl/>
        </w:rPr>
        <w:t>[</w:t>
      </w:r>
      <w:r w:rsidR="007629BE" w:rsidRPr="0088037D">
        <w:rPr>
          <w:rFonts w:ascii="David" w:hAnsi="David" w:cs="David"/>
          <w:sz w:val="24"/>
          <w:szCs w:val="24"/>
          <w:rtl/>
        </w:rPr>
        <w:t xml:space="preserve">ראו: </w:t>
      </w:r>
      <w:hyperlink r:id="rId12" w:history="1">
        <w:r w:rsidR="007629BE" w:rsidRPr="0088037D">
          <w:rPr>
            <w:rStyle w:val="Hyperlink"/>
            <w:rFonts w:ascii="David" w:hAnsi="David" w:cs="David"/>
            <w:color w:val="auto"/>
            <w:sz w:val="24"/>
            <w:szCs w:val="24"/>
            <w:u w:val="none"/>
            <w:rtl/>
          </w:rPr>
          <w:t xml:space="preserve">ע"א 135/80 </w:t>
        </w:r>
        <w:r w:rsidR="007629BE" w:rsidRPr="00EF0456">
          <w:rPr>
            <w:rStyle w:val="Hyperlink"/>
            <w:rFonts w:ascii="David" w:hAnsi="David" w:cs="David"/>
            <w:b/>
            <w:bCs/>
            <w:color w:val="auto"/>
            <w:sz w:val="24"/>
            <w:szCs w:val="24"/>
            <w:u w:val="none"/>
            <w:rtl/>
          </w:rPr>
          <w:t>בכור נ' בכור</w:t>
        </w:r>
        <w:r w:rsidR="007629BE" w:rsidRPr="0088037D">
          <w:rPr>
            <w:rStyle w:val="Hyperlink"/>
            <w:rFonts w:ascii="David" w:hAnsi="David" w:cs="David"/>
            <w:color w:val="auto"/>
            <w:sz w:val="24"/>
            <w:szCs w:val="24"/>
            <w:u w:val="none"/>
            <w:rtl/>
          </w:rPr>
          <w:t xml:space="preserve"> פ"ד לו</w:t>
        </w:r>
      </w:hyperlink>
      <w:r w:rsidR="007629BE" w:rsidRPr="0088037D">
        <w:rPr>
          <w:rFonts w:ascii="David" w:hAnsi="David" w:cs="David"/>
          <w:sz w:val="24"/>
          <w:szCs w:val="24"/>
          <w:rtl/>
        </w:rPr>
        <w:t xml:space="preserve">(2), 358 עמ'361-362; </w:t>
      </w:r>
      <w:hyperlink r:id="rId13" w:history="1">
        <w:r w:rsidR="007629BE" w:rsidRPr="0088037D">
          <w:rPr>
            <w:rStyle w:val="Hyperlink"/>
            <w:rFonts w:ascii="David" w:hAnsi="David" w:cs="David"/>
            <w:color w:val="auto"/>
            <w:sz w:val="24"/>
            <w:szCs w:val="24"/>
            <w:u w:val="none"/>
            <w:rtl/>
          </w:rPr>
          <w:t>ע"מ (חיפה) 114/98</w:t>
        </w:r>
      </w:hyperlink>
      <w:r w:rsidR="007629BE" w:rsidRPr="0088037D">
        <w:rPr>
          <w:rFonts w:ascii="David" w:hAnsi="David" w:cs="David"/>
          <w:sz w:val="24"/>
          <w:szCs w:val="24"/>
          <w:rtl/>
        </w:rPr>
        <w:t xml:space="preserve"> </w:t>
      </w:r>
      <w:r w:rsidR="007629BE" w:rsidRPr="00EF0456">
        <w:rPr>
          <w:rFonts w:ascii="David" w:hAnsi="David" w:cs="David"/>
          <w:b/>
          <w:bCs/>
          <w:sz w:val="24"/>
          <w:szCs w:val="24"/>
          <w:rtl/>
        </w:rPr>
        <w:t xml:space="preserve">קרבל-בר נ' קרבל </w:t>
      </w:r>
      <w:r w:rsidR="00EF0456">
        <w:rPr>
          <w:rFonts w:ascii="David" w:hAnsi="David" w:cs="David" w:hint="cs"/>
          <w:sz w:val="24"/>
          <w:szCs w:val="24"/>
          <w:rtl/>
        </w:rPr>
        <w:t>(</w:t>
      </w:r>
      <w:r w:rsidR="007629BE" w:rsidRPr="0088037D">
        <w:rPr>
          <w:rFonts w:ascii="David" w:hAnsi="David" w:cs="David"/>
          <w:sz w:val="24"/>
          <w:szCs w:val="24"/>
          <w:rtl/>
        </w:rPr>
        <w:t>פורסם בנבו</w:t>
      </w:r>
      <w:r w:rsidR="00EF0456">
        <w:rPr>
          <w:rFonts w:ascii="David" w:hAnsi="David" w:cs="David" w:hint="cs"/>
          <w:sz w:val="24"/>
          <w:szCs w:val="24"/>
          <w:rtl/>
        </w:rPr>
        <w:t xml:space="preserve">, </w:t>
      </w:r>
      <w:r w:rsidR="007629BE" w:rsidRPr="0088037D">
        <w:rPr>
          <w:rFonts w:ascii="David" w:hAnsi="David" w:cs="David"/>
          <w:sz w:val="24"/>
          <w:szCs w:val="24"/>
          <w:rtl/>
        </w:rPr>
        <w:t xml:space="preserve"> תק-מח 98(3), 705 ,עמ' 708</w:t>
      </w:r>
      <w:r w:rsidR="00FF0A81">
        <w:rPr>
          <w:rFonts w:ascii="David" w:hAnsi="David" w:cs="David" w:hint="cs"/>
          <w:sz w:val="24"/>
          <w:szCs w:val="24"/>
          <w:rtl/>
        </w:rPr>
        <w:t>]</w:t>
      </w:r>
      <w:r w:rsidR="00EF0456">
        <w:rPr>
          <w:rFonts w:ascii="David" w:hAnsi="David" w:cs="David" w:hint="cs"/>
          <w:sz w:val="24"/>
          <w:szCs w:val="24"/>
          <w:rtl/>
        </w:rPr>
        <w:t>.</w:t>
      </w:r>
      <w:r w:rsidR="00D4021E">
        <w:rPr>
          <w:rFonts w:ascii="David" w:hAnsi="David" w:cs="David" w:hint="cs"/>
          <w:sz w:val="24"/>
          <w:szCs w:val="24"/>
          <w:rtl/>
        </w:rPr>
        <w:t xml:space="preserve"> כך נקבע שכל מקרה יוכרע על פי נסיבותיו.</w:t>
      </w:r>
    </w:p>
    <w:p w:rsidR="00D4021E" w:rsidRPr="00FF0A81" w:rsidRDefault="00D4021E" w:rsidP="003C1256">
      <w:pPr>
        <w:pStyle w:val="ae"/>
        <w:spacing w:after="0" w:line="360" w:lineRule="auto"/>
        <w:rPr>
          <w:rFonts w:ascii="David" w:hAnsi="David" w:cs="David"/>
          <w:sz w:val="24"/>
          <w:szCs w:val="24"/>
          <w:rtl/>
        </w:rPr>
      </w:pPr>
    </w:p>
    <w:p w:rsidR="00B15459" w:rsidRDefault="00FF0A81" w:rsidP="003C1256">
      <w:pPr>
        <w:pStyle w:val="ae"/>
        <w:numPr>
          <w:ilvl w:val="0"/>
          <w:numId w:val="1"/>
        </w:numPr>
        <w:spacing w:after="0" w:line="360" w:lineRule="auto"/>
        <w:ind w:left="714" w:hanging="357"/>
        <w:jc w:val="both"/>
        <w:rPr>
          <w:rFonts w:ascii="David" w:hAnsi="David" w:cs="David"/>
          <w:sz w:val="24"/>
          <w:szCs w:val="24"/>
        </w:rPr>
      </w:pPr>
      <w:r>
        <w:rPr>
          <w:rFonts w:ascii="David" w:hAnsi="David" w:cs="David" w:hint="cs"/>
          <w:sz w:val="24"/>
          <w:szCs w:val="24"/>
          <w:rtl/>
        </w:rPr>
        <w:t>בעניינו</w:t>
      </w:r>
      <w:r w:rsidR="00F74FDC" w:rsidRPr="00F74FDC">
        <w:rPr>
          <w:rFonts w:ascii="David" w:hAnsi="David" w:cs="David" w:hint="cs"/>
          <w:sz w:val="24"/>
          <w:szCs w:val="24"/>
          <w:rtl/>
        </w:rPr>
        <w:t xml:space="preserve"> ה</w:t>
      </w:r>
      <w:r w:rsidR="00C71485">
        <w:rPr>
          <w:rFonts w:ascii="David" w:hAnsi="David" w:cs="David" w:hint="cs"/>
          <w:sz w:val="24"/>
          <w:szCs w:val="24"/>
          <w:rtl/>
        </w:rPr>
        <w:t>מבקשת</w:t>
      </w:r>
      <w:r w:rsidR="00F74FDC" w:rsidRPr="00F74FDC">
        <w:rPr>
          <w:rFonts w:ascii="David" w:hAnsi="David" w:cs="David" w:hint="cs"/>
          <w:sz w:val="24"/>
          <w:szCs w:val="24"/>
          <w:rtl/>
        </w:rPr>
        <w:t xml:space="preserve"> כרכה את התביעה הרכושית לתביעת הגירושין כדין, התקיימו מספר דיונים בבית הדין בהסכמת הצדדים אף לאחר סידור הגט, בית הדין קבע את מועד הקרע ומינה אקטואר לקבלת חוות דעת לאיזון משאבים. עם זאת, לאחר מכן זנחה </w:t>
      </w:r>
      <w:r w:rsidR="00647EB3" w:rsidRPr="00F74FDC">
        <w:rPr>
          <w:rFonts w:ascii="David" w:hAnsi="David" w:cs="David" w:hint="cs"/>
          <w:sz w:val="24"/>
          <w:szCs w:val="24"/>
          <w:rtl/>
        </w:rPr>
        <w:t>ה</w:t>
      </w:r>
      <w:r w:rsidR="00C71485">
        <w:rPr>
          <w:rFonts w:ascii="David" w:hAnsi="David" w:cs="David" w:hint="cs"/>
          <w:sz w:val="24"/>
          <w:szCs w:val="24"/>
          <w:rtl/>
        </w:rPr>
        <w:t>מבקשת</w:t>
      </w:r>
      <w:r w:rsidR="009B03B2" w:rsidRPr="00F74FDC">
        <w:rPr>
          <w:rFonts w:ascii="David" w:hAnsi="David" w:cs="David" w:hint="cs"/>
          <w:sz w:val="24"/>
          <w:szCs w:val="24"/>
          <w:rtl/>
        </w:rPr>
        <w:t xml:space="preserve"> את תביעתה ובהחלטה מיום 21.5.23 התרה בית הדין: </w:t>
      </w:r>
      <w:r w:rsidR="00B15459" w:rsidRPr="00F74FDC">
        <w:rPr>
          <w:rFonts w:ascii="David" w:hAnsi="David" w:cs="David" w:hint="cs"/>
          <w:sz w:val="24"/>
          <w:szCs w:val="24"/>
          <w:rtl/>
        </w:rPr>
        <w:t xml:space="preserve">"תיק ללא פעילות מזה זמן רב. לאחר העיון מוחלט - </w:t>
      </w:r>
      <w:r w:rsidR="009B03B2" w:rsidRPr="00F74FDC">
        <w:rPr>
          <w:rFonts w:ascii="David" w:hAnsi="David" w:cs="David" w:hint="cs"/>
          <w:sz w:val="24"/>
          <w:szCs w:val="24"/>
          <w:rtl/>
        </w:rPr>
        <w:t xml:space="preserve">התיק יישאר פתוח למשך 30 יום, במידה ולא תהיה פעילות </w:t>
      </w:r>
      <w:r w:rsidR="009B03B2" w:rsidRPr="00F74FDC">
        <w:rPr>
          <w:rFonts w:ascii="David" w:hAnsi="David" w:cs="David"/>
          <w:sz w:val="24"/>
          <w:szCs w:val="24"/>
          <w:rtl/>
        </w:rPr>
        <w:t>התיק ייסגר ללא צורך בהחלטה נוספת בהתאם לתקנה ע"ט".</w:t>
      </w:r>
      <w:r w:rsidR="00807A6C" w:rsidRPr="00F74FDC">
        <w:rPr>
          <w:rFonts w:ascii="David" w:hAnsi="David" w:cs="David"/>
          <w:sz w:val="24"/>
          <w:szCs w:val="24"/>
          <w:rtl/>
        </w:rPr>
        <w:t xml:space="preserve"> </w:t>
      </w:r>
    </w:p>
    <w:p w:rsidR="00FF0A81" w:rsidRDefault="00FF0A81" w:rsidP="003C1256">
      <w:pPr>
        <w:pStyle w:val="ae"/>
        <w:spacing w:after="0" w:line="360" w:lineRule="auto"/>
        <w:ind w:left="714"/>
        <w:jc w:val="both"/>
        <w:rPr>
          <w:rFonts w:ascii="David" w:hAnsi="David" w:cs="David"/>
          <w:sz w:val="24"/>
          <w:szCs w:val="24"/>
          <w:rtl/>
        </w:rPr>
      </w:pPr>
    </w:p>
    <w:p w:rsidR="00FF0A81" w:rsidRDefault="00FF0A81" w:rsidP="003C1256">
      <w:pPr>
        <w:pStyle w:val="ae"/>
        <w:spacing w:after="0" w:line="360" w:lineRule="auto"/>
        <w:ind w:left="714"/>
        <w:jc w:val="both"/>
        <w:rPr>
          <w:rFonts w:ascii="David" w:hAnsi="David" w:cs="David"/>
          <w:sz w:val="24"/>
          <w:szCs w:val="24"/>
          <w:rtl/>
        </w:rPr>
      </w:pPr>
    </w:p>
    <w:p w:rsidR="00FF0A81" w:rsidRDefault="00FF0A81" w:rsidP="003C1256">
      <w:pPr>
        <w:pStyle w:val="ae"/>
        <w:spacing w:after="0" w:line="360" w:lineRule="auto"/>
        <w:ind w:left="714"/>
        <w:jc w:val="both"/>
        <w:rPr>
          <w:rFonts w:ascii="David" w:hAnsi="David" w:cs="David"/>
          <w:sz w:val="24"/>
          <w:szCs w:val="24"/>
          <w:rtl/>
        </w:rPr>
      </w:pPr>
    </w:p>
    <w:p w:rsidR="00FF0A81" w:rsidRDefault="00FF0A81" w:rsidP="003C1256">
      <w:pPr>
        <w:pStyle w:val="ae"/>
        <w:spacing w:after="0" w:line="360" w:lineRule="auto"/>
        <w:ind w:left="714"/>
        <w:jc w:val="both"/>
        <w:rPr>
          <w:rFonts w:ascii="David" w:hAnsi="David" w:cs="David"/>
          <w:sz w:val="24"/>
          <w:szCs w:val="24"/>
          <w:rtl/>
        </w:rPr>
      </w:pPr>
    </w:p>
    <w:p w:rsidR="00807A6C" w:rsidRPr="00807A6C" w:rsidRDefault="00807A6C" w:rsidP="003C1256">
      <w:pPr>
        <w:pStyle w:val="ae"/>
        <w:spacing w:after="0" w:line="360" w:lineRule="auto"/>
        <w:ind w:left="714"/>
        <w:jc w:val="both"/>
        <w:rPr>
          <w:rFonts w:ascii="David" w:hAnsi="David" w:cs="David"/>
          <w:sz w:val="24"/>
          <w:szCs w:val="24"/>
        </w:rPr>
      </w:pPr>
      <w:r w:rsidRPr="00807A6C">
        <w:rPr>
          <w:rFonts w:ascii="David" w:hAnsi="David" w:cs="David"/>
          <w:sz w:val="24"/>
          <w:szCs w:val="24"/>
          <w:rtl/>
        </w:rPr>
        <w:lastRenderedPageBreak/>
        <w:t xml:space="preserve">תקנה ע"ט </w:t>
      </w:r>
      <w:r w:rsidRPr="00807A6C">
        <w:rPr>
          <w:rFonts w:ascii="David" w:hAnsi="David" w:cs="David"/>
          <w:b/>
          <w:bCs/>
          <w:sz w:val="24"/>
          <w:szCs w:val="24"/>
          <w:rtl/>
        </w:rPr>
        <w:t xml:space="preserve">לתקנות </w:t>
      </w:r>
      <w:hyperlink r:id="rId14" w:history="1">
        <w:r w:rsidRPr="00807A6C">
          <w:rPr>
            <w:rStyle w:val="Hyperlink"/>
            <w:rFonts w:ascii="David" w:hAnsi="David" w:cs="David"/>
            <w:b/>
            <w:bCs/>
            <w:color w:val="auto"/>
            <w:sz w:val="24"/>
            <w:szCs w:val="24"/>
            <w:u w:val="none"/>
            <w:rtl/>
          </w:rPr>
          <w:t>הדיון בבתי הדין הרבניים בישראל</w:t>
        </w:r>
      </w:hyperlink>
      <w:r w:rsidRPr="00807A6C">
        <w:rPr>
          <w:rFonts w:ascii="David" w:hAnsi="David" w:cs="David"/>
          <w:sz w:val="24"/>
          <w:szCs w:val="24"/>
          <w:rtl/>
        </w:rPr>
        <w:t xml:space="preserve"> – התשנ"ג, שכותרתה "הזנחת תביעה" קובעת כי בית הדין רשאי </w:t>
      </w:r>
      <w:r w:rsidRPr="00807A6C">
        <w:rPr>
          <w:rFonts w:ascii="David" w:hAnsi="David" w:cs="David"/>
          <w:sz w:val="24"/>
          <w:szCs w:val="24"/>
          <w:u w:val="single"/>
          <w:rtl/>
        </w:rPr>
        <w:t>למחוק</w:t>
      </w:r>
      <w:r w:rsidRPr="00807A6C">
        <w:rPr>
          <w:rFonts w:ascii="David" w:hAnsi="David" w:cs="David"/>
          <w:sz w:val="24"/>
          <w:szCs w:val="24"/>
          <w:rtl/>
        </w:rPr>
        <w:t xml:space="preserve"> תביעה שנזנחה במשך 6 חודשים, כלהלן: </w:t>
      </w:r>
    </w:p>
    <w:p w:rsidR="00807A6C" w:rsidRPr="00807A6C" w:rsidRDefault="00807A6C" w:rsidP="003C1256">
      <w:pPr>
        <w:pStyle w:val="Ruller5"/>
        <w:spacing w:line="360" w:lineRule="auto"/>
        <w:ind w:left="720" w:right="0"/>
        <w:rPr>
          <w:rStyle w:val="default"/>
          <w:rFonts w:ascii="Miriam" w:hAnsi="Miriam" w:cs="Miriam"/>
          <w:b/>
          <w:bCs/>
          <w:sz w:val="24"/>
          <w:szCs w:val="24"/>
          <w:rtl/>
        </w:rPr>
      </w:pPr>
      <w:r>
        <w:rPr>
          <w:rFonts w:ascii="Miriam" w:hAnsi="Miriam" w:cs="Miriam" w:hint="cs"/>
          <w:b/>
          <w:bCs/>
          <w:sz w:val="24"/>
          <w:szCs w:val="24"/>
          <w:rtl/>
        </w:rPr>
        <w:t>"</w:t>
      </w:r>
      <w:r w:rsidRPr="00807A6C">
        <w:rPr>
          <w:rFonts w:ascii="Miriam" w:hAnsi="Miriam" w:cs="Miriam"/>
          <w:b/>
          <w:bCs/>
          <w:sz w:val="24"/>
          <w:szCs w:val="24"/>
          <w:rtl/>
        </w:rPr>
        <w:t xml:space="preserve">(1) </w:t>
      </w:r>
      <w:r w:rsidR="00C71485">
        <w:rPr>
          <w:rStyle w:val="default"/>
          <w:rFonts w:ascii="Miriam" w:hAnsi="Miriam" w:cs="Miriam"/>
          <w:b/>
          <w:bCs/>
          <w:sz w:val="24"/>
          <w:szCs w:val="24"/>
          <w:rtl/>
        </w:rPr>
        <w:t>משיב</w:t>
      </w:r>
      <w:r w:rsidRPr="00807A6C">
        <w:rPr>
          <w:rStyle w:val="default"/>
          <w:rFonts w:ascii="Miriam" w:hAnsi="Miriam" w:cs="Miriam"/>
          <w:b/>
          <w:bCs/>
          <w:sz w:val="24"/>
          <w:szCs w:val="24"/>
          <w:rtl/>
        </w:rPr>
        <w:t xml:space="preserve"> שהזניח תביעתו ולא פנה בעניין אל בית-הדין במשך שישה חודשים רצופים, רשאי בית-הדין להחליט על ביטול התביעה לאחר שניתנה הודעה לצדדים וניתנה להם הזדמנות לנמק מדוע לא תימחק התביעה.</w:t>
      </w:r>
    </w:p>
    <w:p w:rsidR="00807A6C" w:rsidRPr="00807A6C" w:rsidRDefault="00807A6C" w:rsidP="003C1256">
      <w:pPr>
        <w:pStyle w:val="Ruller5"/>
        <w:spacing w:line="360" w:lineRule="auto"/>
        <w:ind w:left="720" w:right="0"/>
        <w:rPr>
          <w:rStyle w:val="default"/>
          <w:rFonts w:ascii="Miriam" w:hAnsi="Miriam" w:cs="Miriam"/>
          <w:b/>
          <w:bCs/>
          <w:sz w:val="24"/>
          <w:szCs w:val="24"/>
          <w:rtl/>
        </w:rPr>
      </w:pPr>
      <w:r w:rsidRPr="00807A6C">
        <w:rPr>
          <w:rStyle w:val="default"/>
          <w:rFonts w:ascii="Miriam" w:hAnsi="Miriam" w:cs="Miriam"/>
          <w:b/>
          <w:bCs/>
          <w:sz w:val="24"/>
          <w:szCs w:val="24"/>
          <w:rtl/>
        </w:rPr>
        <w:t>(2) בית-הדין רשאי להחליט על ביטול התביעה גם ללא הזמנת הצדדים, אם ראה צורך בכך</w:t>
      </w:r>
      <w:r>
        <w:rPr>
          <w:rStyle w:val="default"/>
          <w:rFonts w:ascii="Miriam" w:hAnsi="Miriam" w:cs="Miriam" w:hint="cs"/>
          <w:b/>
          <w:bCs/>
          <w:sz w:val="24"/>
          <w:szCs w:val="24"/>
          <w:rtl/>
        </w:rPr>
        <w:t>"</w:t>
      </w:r>
      <w:r w:rsidRPr="00807A6C">
        <w:rPr>
          <w:rStyle w:val="default"/>
          <w:rFonts w:ascii="Miriam" w:hAnsi="Miriam" w:cs="Miriam"/>
          <w:b/>
          <w:bCs/>
          <w:sz w:val="24"/>
          <w:szCs w:val="24"/>
          <w:rtl/>
        </w:rPr>
        <w:t>.</w:t>
      </w:r>
    </w:p>
    <w:p w:rsidR="00807A6C" w:rsidRPr="00807A6C" w:rsidRDefault="00807A6C" w:rsidP="003C1256">
      <w:pPr>
        <w:pStyle w:val="Ruller5"/>
        <w:spacing w:line="360" w:lineRule="auto"/>
        <w:ind w:left="720"/>
        <w:rPr>
          <w:rStyle w:val="default"/>
          <w:rFonts w:ascii="David" w:hAnsi="David" w:cs="David"/>
          <w:sz w:val="24"/>
          <w:szCs w:val="24"/>
          <w:rtl/>
        </w:rPr>
      </w:pPr>
    </w:p>
    <w:p w:rsidR="00496E76" w:rsidRDefault="00F95B2B" w:rsidP="003C1256">
      <w:pPr>
        <w:pStyle w:val="ae"/>
        <w:numPr>
          <w:ilvl w:val="0"/>
          <w:numId w:val="1"/>
        </w:numPr>
        <w:spacing w:after="0" w:line="360" w:lineRule="auto"/>
        <w:ind w:left="714"/>
        <w:jc w:val="both"/>
        <w:rPr>
          <w:rFonts w:ascii="David" w:hAnsi="David" w:cs="David"/>
          <w:sz w:val="24"/>
          <w:szCs w:val="24"/>
        </w:rPr>
      </w:pPr>
      <w:r>
        <w:rPr>
          <w:rFonts w:ascii="David" w:hAnsi="David" w:cs="David" w:hint="cs"/>
          <w:sz w:val="24"/>
          <w:szCs w:val="24"/>
          <w:rtl/>
        </w:rPr>
        <w:t xml:space="preserve">החלטת בית הדין לסגור את התיק לאחר שהוזנח בחוסר מעש ולאחר שניתנה לצדדים </w:t>
      </w:r>
      <w:r w:rsidR="00496E76">
        <w:rPr>
          <w:rFonts w:ascii="David" w:hAnsi="David" w:cs="David" w:hint="cs"/>
          <w:sz w:val="24"/>
          <w:szCs w:val="24"/>
          <w:rtl/>
        </w:rPr>
        <w:t>זכות טיעון ו</w:t>
      </w:r>
      <w:r>
        <w:rPr>
          <w:rFonts w:ascii="David" w:hAnsi="David" w:cs="David" w:hint="cs"/>
          <w:sz w:val="24"/>
          <w:szCs w:val="24"/>
          <w:rtl/>
        </w:rPr>
        <w:t xml:space="preserve">שהות להחזיר את התיק לפעילות ניתנה </w:t>
      </w:r>
      <w:r w:rsidR="003C6D14">
        <w:rPr>
          <w:rFonts w:ascii="David" w:hAnsi="David" w:cs="David" w:hint="cs"/>
          <w:sz w:val="24"/>
          <w:szCs w:val="24"/>
          <w:rtl/>
        </w:rPr>
        <w:t xml:space="preserve">אפוא </w:t>
      </w:r>
      <w:r>
        <w:rPr>
          <w:rFonts w:ascii="David" w:hAnsi="David" w:cs="David" w:hint="cs"/>
          <w:sz w:val="24"/>
          <w:szCs w:val="24"/>
          <w:rtl/>
        </w:rPr>
        <w:t xml:space="preserve">כדין ומתוך סמכותו הנורמטיבית. </w:t>
      </w:r>
      <w:r w:rsidR="00807A6C" w:rsidRPr="007E6124">
        <w:rPr>
          <w:rFonts w:ascii="David" w:hAnsi="David" w:cs="David" w:hint="cs"/>
          <w:sz w:val="24"/>
          <w:szCs w:val="24"/>
          <w:rtl/>
        </w:rPr>
        <w:t xml:space="preserve">אין המדובר בהחלטה טכנית לסגירת תיק מיוזמת בית הדין אלא </w:t>
      </w:r>
      <w:r w:rsidR="002334EF">
        <w:rPr>
          <w:rFonts w:ascii="David" w:hAnsi="David" w:cs="David" w:hint="cs"/>
          <w:sz w:val="24"/>
          <w:szCs w:val="24"/>
          <w:rtl/>
        </w:rPr>
        <w:t>ב</w:t>
      </w:r>
      <w:r w:rsidR="00807A6C" w:rsidRPr="007E6124">
        <w:rPr>
          <w:rFonts w:ascii="David" w:hAnsi="David" w:cs="David" w:hint="cs"/>
          <w:sz w:val="24"/>
          <w:szCs w:val="24"/>
          <w:rtl/>
        </w:rPr>
        <w:t>החלטה למחיקת ה</w:t>
      </w:r>
      <w:r w:rsidR="002334EF">
        <w:rPr>
          <w:rFonts w:ascii="David" w:hAnsi="David" w:cs="David" w:hint="cs"/>
          <w:sz w:val="24"/>
          <w:szCs w:val="24"/>
          <w:rtl/>
        </w:rPr>
        <w:t>תביע</w:t>
      </w:r>
      <w:r w:rsidR="00807A6C" w:rsidRPr="007E6124">
        <w:rPr>
          <w:rFonts w:ascii="David" w:hAnsi="David" w:cs="David" w:hint="cs"/>
          <w:sz w:val="24"/>
          <w:szCs w:val="24"/>
          <w:rtl/>
        </w:rPr>
        <w:t>ה לאחר שנזנחה על ידי ה</w:t>
      </w:r>
      <w:r w:rsidR="002334EF">
        <w:rPr>
          <w:rFonts w:ascii="David" w:hAnsi="David" w:cs="David" w:hint="cs"/>
          <w:sz w:val="24"/>
          <w:szCs w:val="24"/>
          <w:rtl/>
        </w:rPr>
        <w:t>תובעת</w:t>
      </w:r>
      <w:r w:rsidR="00095B72">
        <w:rPr>
          <w:rFonts w:ascii="David" w:hAnsi="David" w:cs="David" w:hint="cs"/>
          <w:sz w:val="24"/>
          <w:szCs w:val="24"/>
          <w:rtl/>
        </w:rPr>
        <w:t xml:space="preserve"> בהתאם</w:t>
      </w:r>
      <w:r w:rsidR="00807A6C" w:rsidRPr="007E6124">
        <w:rPr>
          <w:rFonts w:ascii="David" w:hAnsi="David" w:cs="David" w:hint="cs"/>
          <w:sz w:val="24"/>
          <w:szCs w:val="24"/>
          <w:rtl/>
        </w:rPr>
        <w:t xml:space="preserve"> </w:t>
      </w:r>
      <w:r w:rsidR="00095B72">
        <w:rPr>
          <w:rFonts w:ascii="David" w:hAnsi="David" w:cs="David" w:hint="cs"/>
          <w:sz w:val="24"/>
          <w:szCs w:val="24"/>
          <w:rtl/>
        </w:rPr>
        <w:t xml:space="preserve">להוראת </w:t>
      </w:r>
      <w:r w:rsidR="001D18FC" w:rsidRPr="007E6124">
        <w:rPr>
          <w:rFonts w:ascii="David" w:hAnsi="David" w:cs="David" w:hint="cs"/>
          <w:sz w:val="24"/>
          <w:szCs w:val="24"/>
          <w:rtl/>
        </w:rPr>
        <w:t xml:space="preserve">תקנה ע"ט ועל כן יש לראותה כמחיקת </w:t>
      </w:r>
      <w:r w:rsidR="002334EF">
        <w:rPr>
          <w:rFonts w:ascii="David" w:hAnsi="David" w:cs="David" w:hint="cs"/>
          <w:sz w:val="24"/>
          <w:szCs w:val="24"/>
          <w:rtl/>
        </w:rPr>
        <w:t>התביע</w:t>
      </w:r>
      <w:r w:rsidR="001D18FC" w:rsidRPr="007E6124">
        <w:rPr>
          <w:rFonts w:ascii="David" w:hAnsi="David" w:cs="David" w:hint="cs"/>
          <w:sz w:val="24"/>
          <w:szCs w:val="24"/>
          <w:rtl/>
        </w:rPr>
        <w:t xml:space="preserve">ה. יתרה מכך, בהחלטה מיום </w:t>
      </w:r>
      <w:r>
        <w:rPr>
          <w:rFonts w:ascii="David" w:hAnsi="David" w:cs="David" w:hint="cs"/>
          <w:sz w:val="24"/>
          <w:szCs w:val="24"/>
          <w:rtl/>
        </w:rPr>
        <w:t>22.6.23</w:t>
      </w:r>
      <w:r w:rsidR="001D18FC" w:rsidRPr="007E6124">
        <w:rPr>
          <w:rFonts w:ascii="David" w:hAnsi="David" w:cs="David" w:hint="cs"/>
          <w:sz w:val="24"/>
          <w:szCs w:val="24"/>
          <w:rtl/>
        </w:rPr>
        <w:t xml:space="preserve"> הוסיף בית הדין על סגירת התיק גם את ההבהרה ש</w:t>
      </w:r>
      <w:r w:rsidR="00B15459">
        <w:rPr>
          <w:rFonts w:ascii="David" w:hAnsi="David" w:cs="David" w:hint="cs"/>
          <w:sz w:val="24"/>
          <w:szCs w:val="24"/>
          <w:rtl/>
        </w:rPr>
        <w:t>"</w:t>
      </w:r>
      <w:r w:rsidR="001D18FC" w:rsidRPr="007E6124">
        <w:rPr>
          <w:rFonts w:ascii="David" w:hAnsi="David" w:cs="David" w:hint="cs"/>
          <w:sz w:val="24"/>
          <w:szCs w:val="24"/>
          <w:rtl/>
        </w:rPr>
        <w:t>הטיפול בתיק הסתיים</w:t>
      </w:r>
      <w:r w:rsidR="00B15459">
        <w:rPr>
          <w:rFonts w:ascii="David" w:hAnsi="David" w:cs="David" w:hint="cs"/>
          <w:sz w:val="24"/>
          <w:szCs w:val="24"/>
          <w:rtl/>
        </w:rPr>
        <w:t>"</w:t>
      </w:r>
      <w:r w:rsidR="00095B72">
        <w:rPr>
          <w:rFonts w:ascii="David" w:hAnsi="David" w:cs="David" w:hint="cs"/>
          <w:sz w:val="24"/>
          <w:szCs w:val="24"/>
          <w:rtl/>
        </w:rPr>
        <w:t>,</w:t>
      </w:r>
      <w:r w:rsidR="001D18FC" w:rsidRPr="007E6124">
        <w:rPr>
          <w:rFonts w:ascii="David" w:hAnsi="David" w:cs="David" w:hint="cs"/>
          <w:sz w:val="24"/>
          <w:szCs w:val="24"/>
          <w:rtl/>
        </w:rPr>
        <w:t xml:space="preserve"> ומכאן </w:t>
      </w:r>
      <w:r w:rsidR="00095B72">
        <w:rPr>
          <w:rFonts w:ascii="David" w:hAnsi="David" w:cs="David" w:hint="cs"/>
          <w:sz w:val="24"/>
          <w:szCs w:val="24"/>
          <w:rtl/>
        </w:rPr>
        <w:t xml:space="preserve">עולה בבירור </w:t>
      </w:r>
      <w:r w:rsidR="001D18FC" w:rsidRPr="007E6124">
        <w:rPr>
          <w:rFonts w:ascii="David" w:hAnsi="David" w:cs="David" w:hint="cs"/>
          <w:sz w:val="24"/>
          <w:szCs w:val="24"/>
          <w:rtl/>
        </w:rPr>
        <w:t xml:space="preserve">שכוונתו בסגירת התיק הייתה מחיקת התביעה. </w:t>
      </w:r>
      <w:r w:rsidR="003C6D14">
        <w:rPr>
          <w:rFonts w:ascii="David" w:hAnsi="David" w:cs="David" w:hint="cs"/>
          <w:sz w:val="24"/>
          <w:szCs w:val="24"/>
          <w:rtl/>
        </w:rPr>
        <w:t xml:space="preserve">גם כאשר פנתה כעת המבקשת לבית הדין לפתוח את התיק לא נעתר בית הדין </w:t>
      </w:r>
      <w:r w:rsidR="003C6D14" w:rsidRPr="00496E76">
        <w:rPr>
          <w:rFonts w:ascii="David" w:hAnsi="David" w:cs="David"/>
          <w:sz w:val="24"/>
          <w:szCs w:val="24"/>
          <w:rtl/>
        </w:rPr>
        <w:t>למבוקשה ולא קבע שהחלטתו לסגירת התיק הייתה טכנית.</w:t>
      </w:r>
      <w:r w:rsidR="00496E76" w:rsidRPr="00496E76">
        <w:rPr>
          <w:rFonts w:ascii="David" w:hAnsi="David" w:cs="David"/>
          <w:sz w:val="24"/>
          <w:szCs w:val="24"/>
          <w:rtl/>
        </w:rPr>
        <w:t xml:space="preserve"> בהקשר זה תוזכר גם ההלכה שהתרופה של </w:t>
      </w:r>
      <w:r w:rsidR="00ED6132">
        <w:rPr>
          <w:rFonts w:ascii="David" w:hAnsi="David" w:cs="David" w:hint="cs"/>
          <w:sz w:val="24"/>
          <w:szCs w:val="24"/>
          <w:rtl/>
        </w:rPr>
        <w:t xml:space="preserve">תובע </w:t>
      </w:r>
      <w:r w:rsidR="00496E76" w:rsidRPr="00496E76">
        <w:rPr>
          <w:rFonts w:ascii="David" w:hAnsi="David" w:cs="David"/>
          <w:sz w:val="24"/>
          <w:szCs w:val="24"/>
          <w:rtl/>
        </w:rPr>
        <w:t xml:space="preserve">שתביעתו נמחקה מחוסר מעשה היא בהגשת </w:t>
      </w:r>
      <w:r w:rsidR="00ED6132">
        <w:rPr>
          <w:rFonts w:ascii="David" w:hAnsi="David" w:cs="David" w:hint="cs"/>
          <w:sz w:val="24"/>
          <w:szCs w:val="24"/>
          <w:rtl/>
        </w:rPr>
        <w:t>תביע</w:t>
      </w:r>
      <w:r w:rsidR="00496E76" w:rsidRPr="00496E76">
        <w:rPr>
          <w:rFonts w:ascii="David" w:hAnsi="David" w:cs="David"/>
          <w:sz w:val="24"/>
          <w:szCs w:val="24"/>
          <w:rtl/>
        </w:rPr>
        <w:t xml:space="preserve">ה חדשה </w:t>
      </w:r>
      <w:r w:rsidR="00496E76" w:rsidRPr="00496E76">
        <w:rPr>
          <w:rFonts w:ascii="David" w:hAnsi="David" w:cs="David"/>
          <w:color w:val="000000"/>
          <w:sz w:val="24"/>
          <w:szCs w:val="24"/>
          <w:rtl/>
        </w:rPr>
        <w:t xml:space="preserve">[רע"א 8566/14 </w:t>
      </w:r>
      <w:r w:rsidR="00496E76" w:rsidRPr="00496E76">
        <w:rPr>
          <w:rFonts w:ascii="David" w:hAnsi="David" w:cs="David"/>
          <w:b/>
          <w:bCs/>
          <w:color w:val="000000"/>
          <w:sz w:val="24"/>
          <w:szCs w:val="24"/>
          <w:rtl/>
        </w:rPr>
        <w:t>גרבלי נ' עיריית אשדוד</w:t>
      </w:r>
      <w:r w:rsidR="00496E76" w:rsidRPr="00496E76">
        <w:rPr>
          <w:rFonts w:ascii="David" w:hAnsi="David" w:cs="David"/>
          <w:color w:val="000000"/>
          <w:sz w:val="24"/>
          <w:szCs w:val="24"/>
          <w:rtl/>
        </w:rPr>
        <w:t xml:space="preserve"> (פורסם בנבו, </w:t>
      </w:r>
      <w:r w:rsidR="00496E76" w:rsidRPr="00496E76">
        <w:rPr>
          <w:rFonts w:ascii="David" w:hAnsi="David" w:cs="David"/>
          <w:sz w:val="24"/>
          <w:szCs w:val="24"/>
          <w:rtl/>
        </w:rPr>
        <w:t>5.5.15)].</w:t>
      </w:r>
    </w:p>
    <w:p w:rsidR="00ED6132" w:rsidRPr="00496E76" w:rsidRDefault="00ED6132" w:rsidP="003C1256">
      <w:pPr>
        <w:pStyle w:val="ae"/>
        <w:spacing w:after="0" w:line="360" w:lineRule="auto"/>
        <w:ind w:left="714"/>
        <w:jc w:val="both"/>
        <w:rPr>
          <w:rFonts w:ascii="David" w:hAnsi="David" w:cs="David"/>
          <w:sz w:val="24"/>
          <w:szCs w:val="24"/>
        </w:rPr>
      </w:pPr>
      <w:r w:rsidRPr="007E6124">
        <w:rPr>
          <w:rFonts w:ascii="David" w:hAnsi="David" w:cs="David" w:hint="cs"/>
          <w:sz w:val="24"/>
          <w:szCs w:val="24"/>
          <w:rtl/>
        </w:rPr>
        <w:t xml:space="preserve">אין </w:t>
      </w:r>
      <w:r>
        <w:rPr>
          <w:rFonts w:ascii="David" w:hAnsi="David" w:cs="David" w:hint="cs"/>
          <w:sz w:val="24"/>
          <w:szCs w:val="24"/>
          <w:rtl/>
        </w:rPr>
        <w:t xml:space="preserve">אפוא </w:t>
      </w:r>
      <w:r w:rsidRPr="007E6124">
        <w:rPr>
          <w:rFonts w:ascii="David" w:hAnsi="David" w:cs="David" w:hint="cs"/>
          <w:sz w:val="24"/>
          <w:szCs w:val="24"/>
          <w:rtl/>
        </w:rPr>
        <w:t>בנקיטת הדיבור "סגירת תיק" במקום מחיקת התביעה כדי לשמש מחסום מפני סמכותו של בית המשפט לדון בענ</w:t>
      </w:r>
      <w:r>
        <w:rPr>
          <w:rFonts w:ascii="David" w:hAnsi="David" w:cs="David" w:hint="cs"/>
          <w:sz w:val="24"/>
          <w:szCs w:val="24"/>
          <w:rtl/>
        </w:rPr>
        <w:t>י</w:t>
      </w:r>
      <w:r w:rsidRPr="007E6124">
        <w:rPr>
          <w:rFonts w:ascii="David" w:hAnsi="David" w:cs="David" w:hint="cs"/>
          <w:sz w:val="24"/>
          <w:szCs w:val="24"/>
          <w:rtl/>
        </w:rPr>
        <w:t>ין שהובא לפניו לאחר סגירת התיק בבית הדין.</w:t>
      </w:r>
    </w:p>
    <w:p w:rsidR="00496E76" w:rsidRPr="00496E76" w:rsidRDefault="00496E76" w:rsidP="003C1256">
      <w:pPr>
        <w:pStyle w:val="ae"/>
        <w:spacing w:after="0" w:line="360" w:lineRule="auto"/>
        <w:ind w:left="714"/>
        <w:jc w:val="both"/>
        <w:rPr>
          <w:rFonts w:ascii="Tahoma" w:hAnsi="Tahoma" w:cs="Tahoma"/>
          <w:sz w:val="20"/>
          <w:szCs w:val="20"/>
        </w:rPr>
      </w:pPr>
    </w:p>
    <w:p w:rsidR="009E44F0" w:rsidRDefault="00F74FDC" w:rsidP="00543DA7">
      <w:pPr>
        <w:pStyle w:val="ae"/>
        <w:numPr>
          <w:ilvl w:val="0"/>
          <w:numId w:val="1"/>
        </w:numPr>
        <w:spacing w:after="0" w:line="360" w:lineRule="auto"/>
        <w:jc w:val="both"/>
        <w:rPr>
          <w:rFonts w:ascii="Century" w:hAnsi="Century" w:cs="FrankRuehl"/>
          <w:szCs w:val="28"/>
        </w:rPr>
      </w:pPr>
      <w:r w:rsidRPr="00FB22E5">
        <w:rPr>
          <w:rFonts w:ascii="David" w:hAnsi="David" w:cs="David" w:hint="cs"/>
          <w:sz w:val="24"/>
          <w:szCs w:val="24"/>
          <w:rtl/>
        </w:rPr>
        <w:t xml:space="preserve">בבחינת למעלה מהדרוש יודגש </w:t>
      </w:r>
      <w:r w:rsidR="00FB22E5" w:rsidRPr="00FB22E5">
        <w:rPr>
          <w:rFonts w:ascii="David" w:hAnsi="David" w:cs="David" w:hint="cs"/>
          <w:sz w:val="24"/>
          <w:szCs w:val="24"/>
          <w:rtl/>
        </w:rPr>
        <w:t>שיש לדחות גם את טענת ה</w:t>
      </w:r>
      <w:r w:rsidR="00C71485">
        <w:rPr>
          <w:rFonts w:ascii="David" w:hAnsi="David" w:cs="David" w:hint="cs"/>
          <w:sz w:val="24"/>
          <w:szCs w:val="24"/>
          <w:rtl/>
        </w:rPr>
        <w:t>מבקשת</w:t>
      </w:r>
      <w:r w:rsidR="00FB22E5" w:rsidRPr="00FB22E5">
        <w:rPr>
          <w:rFonts w:ascii="David" w:hAnsi="David" w:cs="David" w:hint="cs"/>
          <w:sz w:val="24"/>
          <w:szCs w:val="24"/>
          <w:rtl/>
        </w:rPr>
        <w:t xml:space="preserve"> לסמכות נמשכת של בית הדין. </w:t>
      </w:r>
      <w:r w:rsidR="00FB22E5">
        <w:rPr>
          <w:rFonts w:ascii="David" w:hAnsi="David" w:cs="David" w:hint="cs"/>
          <w:sz w:val="24"/>
          <w:szCs w:val="24"/>
          <w:rtl/>
        </w:rPr>
        <w:t xml:space="preserve">אף מבלי להידרש לשאלה אם מתקיימים התנאים להכרה בסמכות הנמשכת של בית הדין מכח מבחן ה"דן ופסק" </w:t>
      </w:r>
      <w:r w:rsidR="00496E76">
        <w:rPr>
          <w:rFonts w:ascii="David" w:hAnsi="David" w:cs="David" w:hint="cs"/>
          <w:sz w:val="24"/>
          <w:szCs w:val="24"/>
          <w:rtl/>
        </w:rPr>
        <w:t xml:space="preserve">(שעה שהדיון </w:t>
      </w:r>
      <w:r w:rsidR="00ED6132">
        <w:rPr>
          <w:rFonts w:ascii="David" w:hAnsi="David" w:cs="David" w:hint="cs"/>
          <w:sz w:val="24"/>
          <w:szCs w:val="24"/>
          <w:rtl/>
        </w:rPr>
        <w:t>בתביע</w:t>
      </w:r>
      <w:r w:rsidR="00496E76">
        <w:rPr>
          <w:rFonts w:ascii="David" w:hAnsi="David" w:cs="David" w:hint="cs"/>
          <w:sz w:val="24"/>
          <w:szCs w:val="24"/>
          <w:rtl/>
        </w:rPr>
        <w:t>ה לא הוכר</w:t>
      </w:r>
      <w:r w:rsidR="00543DA7">
        <w:rPr>
          <w:rFonts w:ascii="David" w:hAnsi="David" w:cs="David" w:hint="cs"/>
          <w:sz w:val="24"/>
          <w:szCs w:val="24"/>
          <w:rtl/>
        </w:rPr>
        <w:t>ע</w:t>
      </w:r>
      <w:r w:rsidR="00496E76">
        <w:rPr>
          <w:rFonts w:ascii="David" w:hAnsi="David" w:cs="David" w:hint="cs"/>
          <w:sz w:val="24"/>
          <w:szCs w:val="24"/>
          <w:rtl/>
        </w:rPr>
        <w:t xml:space="preserve"> בפסק דין) </w:t>
      </w:r>
      <w:r w:rsidR="00FB22E5">
        <w:rPr>
          <w:rFonts w:ascii="David" w:hAnsi="David" w:cs="David" w:hint="cs"/>
          <w:sz w:val="24"/>
          <w:szCs w:val="24"/>
          <w:rtl/>
        </w:rPr>
        <w:t>ואם המדובר בסוגיה בעלת אופי מתמשך</w:t>
      </w:r>
      <w:r w:rsidR="00496E76">
        <w:rPr>
          <w:rFonts w:ascii="David" w:hAnsi="David" w:cs="David" w:hint="cs"/>
          <w:sz w:val="24"/>
          <w:szCs w:val="24"/>
          <w:rtl/>
        </w:rPr>
        <w:t xml:space="preserve"> (בשים לב לפסיקה שקבעה שסוגיות בעלות אופי מתמשך</w:t>
      </w:r>
      <w:r w:rsidR="009E44F0">
        <w:rPr>
          <w:rFonts w:ascii="David" w:hAnsi="David" w:cs="David" w:hint="cs"/>
          <w:sz w:val="24"/>
          <w:szCs w:val="24"/>
          <w:rtl/>
        </w:rPr>
        <w:t xml:space="preserve"> הם </w:t>
      </w:r>
      <w:r w:rsidR="00496E76">
        <w:rPr>
          <w:rFonts w:ascii="Tahoma" w:eastAsia="Times New Roman" w:hAnsi="Tahoma" w:cs="David"/>
          <w:color w:val="000000"/>
          <w:sz w:val="24"/>
          <w:szCs w:val="24"/>
          <w:rtl/>
        </w:rPr>
        <w:t>נושאים שמעצם טיבם נתונים הם לשינוי, כגון מזונות ומשמורת</w:t>
      </w:r>
      <w:r w:rsidR="009E44F0">
        <w:rPr>
          <w:rFonts w:ascii="David" w:hAnsi="David" w:cs="David" w:hint="cs"/>
          <w:sz w:val="24"/>
          <w:szCs w:val="24"/>
          <w:rtl/>
        </w:rPr>
        <w:t>),</w:t>
      </w:r>
      <w:r w:rsidR="00FB22E5">
        <w:rPr>
          <w:rFonts w:ascii="David" w:hAnsi="David" w:cs="David" w:hint="cs"/>
          <w:sz w:val="24"/>
          <w:szCs w:val="24"/>
          <w:rtl/>
        </w:rPr>
        <w:t xml:space="preserve"> </w:t>
      </w:r>
      <w:r w:rsidR="00FB22E5" w:rsidRPr="00FB22E5">
        <w:rPr>
          <w:rFonts w:ascii="David" w:hAnsi="David" w:cs="David" w:hint="cs"/>
          <w:sz w:val="24"/>
          <w:szCs w:val="24"/>
          <w:rtl/>
        </w:rPr>
        <w:t>הלכה היא שאם ההליך הסתיים במחיקת התביעה מבלי שניתנה הכרעה סופית</w:t>
      </w:r>
      <w:r w:rsidR="00FB22E5">
        <w:rPr>
          <w:rFonts w:ascii="David" w:hAnsi="David" w:cs="David" w:hint="cs"/>
          <w:sz w:val="24"/>
          <w:szCs w:val="24"/>
          <w:rtl/>
        </w:rPr>
        <w:t xml:space="preserve"> הערכאה שהורתה על מחיקת ההליך לא רכשה סמכות נמשכת לדון בתביעה 'מתחדשת' שתוגש [בג"צ 5430/23 </w:t>
      </w:r>
      <w:r w:rsidR="00FB22E5" w:rsidRPr="009E44F0">
        <w:rPr>
          <w:rFonts w:ascii="David" w:hAnsi="David" w:cs="David" w:hint="cs"/>
          <w:b/>
          <w:bCs/>
          <w:sz w:val="24"/>
          <w:szCs w:val="24"/>
          <w:rtl/>
        </w:rPr>
        <w:t>פלוני נ' בית הדין הרבני הגדול בירושלים</w:t>
      </w:r>
      <w:r w:rsidR="00FB22E5">
        <w:rPr>
          <w:rFonts w:ascii="David" w:hAnsi="David" w:cs="David" w:hint="cs"/>
          <w:sz w:val="24"/>
          <w:szCs w:val="24"/>
          <w:rtl/>
        </w:rPr>
        <w:t xml:space="preserve"> (פורסם בנבו, 7.12.23</w:t>
      </w:r>
      <w:r w:rsidR="009E44F0">
        <w:rPr>
          <w:rFonts w:ascii="David" w:hAnsi="David" w:cs="David" w:hint="cs"/>
          <w:sz w:val="24"/>
          <w:szCs w:val="24"/>
          <w:rtl/>
        </w:rPr>
        <w:t>)</w:t>
      </w:r>
      <w:r w:rsidR="00FB22E5">
        <w:rPr>
          <w:rFonts w:ascii="David" w:hAnsi="David" w:cs="David" w:hint="cs"/>
          <w:sz w:val="24"/>
          <w:szCs w:val="24"/>
          <w:rtl/>
        </w:rPr>
        <w:t xml:space="preserve">]. </w:t>
      </w:r>
    </w:p>
    <w:p w:rsidR="009E44F0" w:rsidRDefault="009E44F0" w:rsidP="003C1256">
      <w:pPr>
        <w:pStyle w:val="ae"/>
        <w:spacing w:after="0" w:line="360" w:lineRule="auto"/>
        <w:rPr>
          <w:rFonts w:ascii="Century" w:hAnsi="Century" w:cs="FrankRuehl"/>
          <w:szCs w:val="28"/>
          <w:rtl/>
        </w:rPr>
      </w:pPr>
    </w:p>
    <w:p w:rsidR="003C1256" w:rsidRDefault="003C1256" w:rsidP="003C1256">
      <w:pPr>
        <w:pStyle w:val="ae"/>
        <w:spacing w:after="0" w:line="360" w:lineRule="auto"/>
        <w:rPr>
          <w:rFonts w:ascii="Century" w:hAnsi="Century" w:cs="FrankRuehl"/>
          <w:szCs w:val="28"/>
          <w:rtl/>
        </w:rPr>
      </w:pPr>
    </w:p>
    <w:p w:rsidR="003C1256" w:rsidRDefault="003C1256" w:rsidP="003C1256">
      <w:pPr>
        <w:pStyle w:val="ae"/>
        <w:spacing w:after="0" w:line="360" w:lineRule="auto"/>
        <w:rPr>
          <w:rFonts w:ascii="Century" w:hAnsi="Century" w:cs="FrankRuehl"/>
          <w:szCs w:val="28"/>
          <w:rtl/>
        </w:rPr>
      </w:pPr>
    </w:p>
    <w:p w:rsidR="003C1256" w:rsidRPr="009E44F0" w:rsidRDefault="003C1256" w:rsidP="003C1256">
      <w:pPr>
        <w:pStyle w:val="ae"/>
        <w:spacing w:after="0" w:line="360" w:lineRule="auto"/>
        <w:rPr>
          <w:rFonts w:ascii="Century" w:hAnsi="Century" w:cs="FrankRuehl"/>
          <w:szCs w:val="28"/>
          <w:rtl/>
        </w:rPr>
      </w:pPr>
    </w:p>
    <w:p w:rsidR="00ED6132" w:rsidRDefault="00C71485" w:rsidP="00543DA7">
      <w:pPr>
        <w:pStyle w:val="ae"/>
        <w:numPr>
          <w:ilvl w:val="0"/>
          <w:numId w:val="1"/>
        </w:numPr>
        <w:spacing w:after="0" w:line="360" w:lineRule="auto"/>
        <w:ind w:left="714"/>
        <w:jc w:val="both"/>
        <w:rPr>
          <w:rFonts w:ascii="David" w:hAnsi="David" w:cs="David"/>
          <w:sz w:val="24"/>
          <w:szCs w:val="24"/>
        </w:rPr>
      </w:pPr>
      <w:r>
        <w:rPr>
          <w:rFonts w:ascii="David" w:hAnsi="David" w:cs="David" w:hint="cs"/>
          <w:sz w:val="24"/>
          <w:szCs w:val="24"/>
          <w:rtl/>
        </w:rPr>
        <w:lastRenderedPageBreak/>
        <w:t xml:space="preserve">המשיב בחר לעתור בתביעה כספית המהווה רכיב אחד בחלוקת הרכוש שבין הצדדים, </w:t>
      </w:r>
      <w:r w:rsidR="00543DA7">
        <w:rPr>
          <w:rFonts w:ascii="David" w:hAnsi="David" w:cs="David" w:hint="cs"/>
          <w:sz w:val="24"/>
          <w:szCs w:val="24"/>
          <w:rtl/>
        </w:rPr>
        <w:t>בנוגע לחובות שנצברו לאחר מועד הקרע</w:t>
      </w:r>
      <w:r>
        <w:rPr>
          <w:rFonts w:ascii="David" w:hAnsi="David" w:cs="David" w:hint="cs"/>
          <w:sz w:val="24"/>
          <w:szCs w:val="24"/>
          <w:rtl/>
        </w:rPr>
        <w:t xml:space="preserve"> </w:t>
      </w:r>
      <w:r w:rsidR="00543DA7">
        <w:rPr>
          <w:rFonts w:ascii="David" w:hAnsi="David" w:cs="David" w:hint="cs"/>
          <w:sz w:val="24"/>
          <w:szCs w:val="24"/>
          <w:rtl/>
        </w:rPr>
        <w:t>ו</w:t>
      </w:r>
      <w:r>
        <w:rPr>
          <w:rFonts w:ascii="David" w:hAnsi="David" w:cs="David" w:hint="cs"/>
          <w:sz w:val="24"/>
          <w:szCs w:val="24"/>
          <w:rtl/>
        </w:rPr>
        <w:t xml:space="preserve">במנותק מאיזון המשאבים ביחס לרכוש והזכויות שנצברו על ידי הצדדים מיום הנישואין ועד למועד הקרע </w:t>
      </w:r>
      <w:r w:rsidR="009E44F0" w:rsidRPr="009E44F0">
        <w:rPr>
          <w:rFonts w:ascii="David" w:hAnsi="David" w:cs="David" w:hint="cs"/>
          <w:sz w:val="24"/>
          <w:szCs w:val="24"/>
          <w:rtl/>
        </w:rPr>
        <w:t>(ושטרם בוצע), ומתוך הסתמכות על קביעות בית הדין</w:t>
      </w:r>
      <w:r w:rsidR="009E44F0">
        <w:rPr>
          <w:rFonts w:ascii="David" w:hAnsi="David" w:cs="David" w:hint="cs"/>
          <w:sz w:val="24"/>
          <w:szCs w:val="24"/>
          <w:rtl/>
        </w:rPr>
        <w:t>. ג</w:t>
      </w:r>
      <w:r>
        <w:rPr>
          <w:rFonts w:ascii="David" w:hAnsi="David" w:cs="David" w:hint="cs"/>
          <w:sz w:val="24"/>
          <w:szCs w:val="24"/>
          <w:rtl/>
        </w:rPr>
        <w:t>ם אם אקבל שדרך פעולה זו מעוררת אי נוחות, הרי שבמועד הגשת התביעה בבית המשפט לא היה בירור עניינם הרכושי של הצדדים מוטל לפתחו של בית הדין הרבני</w:t>
      </w:r>
      <w:r w:rsidR="00ED6132">
        <w:rPr>
          <w:rFonts w:ascii="David" w:hAnsi="David" w:cs="David" w:hint="cs"/>
          <w:sz w:val="24"/>
          <w:szCs w:val="24"/>
          <w:rtl/>
        </w:rPr>
        <w:t>.</w:t>
      </w:r>
    </w:p>
    <w:p w:rsidR="00C71485" w:rsidRDefault="00C71485" w:rsidP="003C1256">
      <w:pPr>
        <w:pStyle w:val="ae"/>
        <w:spacing w:after="0" w:line="360" w:lineRule="auto"/>
        <w:ind w:left="714"/>
        <w:jc w:val="both"/>
        <w:rPr>
          <w:rFonts w:ascii="David" w:hAnsi="David" w:cs="David"/>
          <w:sz w:val="24"/>
          <w:szCs w:val="24"/>
        </w:rPr>
      </w:pPr>
      <w:r>
        <w:rPr>
          <w:rFonts w:ascii="David" w:hAnsi="David" w:cs="David" w:hint="cs"/>
          <w:sz w:val="24"/>
          <w:szCs w:val="24"/>
          <w:rtl/>
        </w:rPr>
        <w:t>הטיפול בהליך שנדון על ידי בית הדין הסתיים עם מחיקתו ביום 22.6.23</w:t>
      </w:r>
      <w:r w:rsidR="00ED6132">
        <w:rPr>
          <w:rFonts w:ascii="David" w:hAnsi="David" w:cs="David" w:hint="cs"/>
          <w:sz w:val="24"/>
          <w:szCs w:val="24"/>
          <w:rtl/>
        </w:rPr>
        <w:t xml:space="preserve"> ולא הייתה מניעה לדרך הילוכו זה של המשיב</w:t>
      </w:r>
      <w:r>
        <w:rPr>
          <w:rFonts w:ascii="David" w:hAnsi="David" w:cs="David" w:hint="cs"/>
          <w:sz w:val="24"/>
          <w:szCs w:val="24"/>
          <w:rtl/>
        </w:rPr>
        <w:t xml:space="preserve"> וממילא לא נדרש בית המשפט לכיבוד הערכאות ויש בידו לדון בעניין.</w:t>
      </w:r>
    </w:p>
    <w:p w:rsidR="00F95B2B" w:rsidRPr="003C1256" w:rsidRDefault="00F95B2B" w:rsidP="003C1256">
      <w:pPr>
        <w:pStyle w:val="ae"/>
        <w:spacing w:after="0" w:line="360" w:lineRule="auto"/>
        <w:rPr>
          <w:rFonts w:ascii="David" w:hAnsi="David" w:cs="David"/>
          <w:sz w:val="24"/>
          <w:szCs w:val="24"/>
          <w:rtl/>
        </w:rPr>
      </w:pPr>
    </w:p>
    <w:p w:rsidR="00F95B2B" w:rsidRDefault="00F95B2B" w:rsidP="003C1256">
      <w:pPr>
        <w:pStyle w:val="ae"/>
        <w:numPr>
          <w:ilvl w:val="0"/>
          <w:numId w:val="1"/>
        </w:numPr>
        <w:spacing w:after="0" w:line="360" w:lineRule="auto"/>
        <w:ind w:left="714"/>
        <w:jc w:val="both"/>
        <w:rPr>
          <w:rFonts w:ascii="David" w:hAnsi="David" w:cs="David"/>
          <w:sz w:val="24"/>
          <w:szCs w:val="24"/>
        </w:rPr>
      </w:pPr>
      <w:r>
        <w:rPr>
          <w:rFonts w:ascii="David" w:hAnsi="David" w:cs="David" w:hint="cs"/>
          <w:sz w:val="24"/>
          <w:szCs w:val="24"/>
          <w:rtl/>
        </w:rPr>
        <w:t>לאור האמור הבקשה נדחית.</w:t>
      </w:r>
    </w:p>
    <w:p w:rsidR="003C6D14" w:rsidRPr="003C6D14" w:rsidRDefault="003C6D14" w:rsidP="003C1256">
      <w:pPr>
        <w:pStyle w:val="ae"/>
        <w:spacing w:after="0" w:line="360" w:lineRule="auto"/>
        <w:rPr>
          <w:rFonts w:ascii="David" w:hAnsi="David" w:cs="David"/>
          <w:sz w:val="24"/>
          <w:szCs w:val="24"/>
          <w:rtl/>
        </w:rPr>
      </w:pPr>
    </w:p>
    <w:p w:rsidR="00F95B2B" w:rsidRDefault="00F95B2B" w:rsidP="003C1256">
      <w:pPr>
        <w:pStyle w:val="ae"/>
        <w:numPr>
          <w:ilvl w:val="0"/>
          <w:numId w:val="1"/>
        </w:numPr>
        <w:spacing w:after="0" w:line="360" w:lineRule="auto"/>
        <w:ind w:left="714"/>
        <w:jc w:val="both"/>
        <w:rPr>
          <w:rFonts w:ascii="David" w:hAnsi="David" w:cs="David"/>
          <w:sz w:val="24"/>
          <w:szCs w:val="24"/>
        </w:rPr>
      </w:pPr>
      <w:r>
        <w:rPr>
          <w:rFonts w:ascii="David" w:hAnsi="David" w:cs="David" w:hint="cs"/>
          <w:sz w:val="24"/>
          <w:szCs w:val="24"/>
          <w:rtl/>
        </w:rPr>
        <w:t>עד כה לא התגוננה ה</w:t>
      </w:r>
      <w:r w:rsidR="00C71485">
        <w:rPr>
          <w:rFonts w:ascii="David" w:hAnsi="David" w:cs="David" w:hint="cs"/>
          <w:sz w:val="24"/>
          <w:szCs w:val="24"/>
          <w:rtl/>
        </w:rPr>
        <w:t>מבקשת</w:t>
      </w:r>
      <w:r>
        <w:rPr>
          <w:rFonts w:ascii="David" w:hAnsi="David" w:cs="David" w:hint="cs"/>
          <w:sz w:val="24"/>
          <w:szCs w:val="24"/>
          <w:rtl/>
        </w:rPr>
        <w:t xml:space="preserve"> מפני ה</w:t>
      </w:r>
      <w:r w:rsidR="00ED6132">
        <w:rPr>
          <w:rFonts w:ascii="David" w:hAnsi="David" w:cs="David" w:hint="cs"/>
          <w:sz w:val="24"/>
          <w:szCs w:val="24"/>
          <w:rtl/>
        </w:rPr>
        <w:t>תביע</w:t>
      </w:r>
      <w:r>
        <w:rPr>
          <w:rFonts w:ascii="David" w:hAnsi="David" w:cs="David" w:hint="cs"/>
          <w:sz w:val="24"/>
          <w:szCs w:val="24"/>
          <w:rtl/>
        </w:rPr>
        <w:t>ה על אף שלא קיבלה היתר לכך ועל אף שנדרשה לעשות כן במספר החלטות. על ה</w:t>
      </w:r>
      <w:r w:rsidR="00C71485">
        <w:rPr>
          <w:rFonts w:ascii="David" w:hAnsi="David" w:cs="David" w:hint="cs"/>
          <w:sz w:val="24"/>
          <w:szCs w:val="24"/>
          <w:rtl/>
        </w:rPr>
        <w:t>מבקשת</w:t>
      </w:r>
      <w:r>
        <w:rPr>
          <w:rFonts w:ascii="David" w:hAnsi="David" w:cs="David" w:hint="cs"/>
          <w:sz w:val="24"/>
          <w:szCs w:val="24"/>
          <w:rtl/>
        </w:rPr>
        <w:t xml:space="preserve"> ל</w:t>
      </w:r>
      <w:r w:rsidR="00ED6132">
        <w:rPr>
          <w:rFonts w:ascii="David" w:hAnsi="David" w:cs="David" w:hint="cs"/>
          <w:sz w:val="24"/>
          <w:szCs w:val="24"/>
          <w:rtl/>
        </w:rPr>
        <w:t>התגונן מפני התביעה בתוך 10 ימים אם לא תעשה כן יהא המשיב רשאי לעתור לקבלת התביעה בהעדר הגנה.</w:t>
      </w:r>
    </w:p>
    <w:p w:rsidR="002A21F2" w:rsidRPr="00ED6132" w:rsidRDefault="002A21F2" w:rsidP="003C1256">
      <w:pPr>
        <w:pStyle w:val="ae"/>
        <w:spacing w:after="0" w:line="360" w:lineRule="auto"/>
        <w:rPr>
          <w:rFonts w:ascii="David" w:hAnsi="David" w:cs="David"/>
          <w:sz w:val="24"/>
          <w:szCs w:val="24"/>
          <w:rtl/>
        </w:rPr>
      </w:pPr>
    </w:p>
    <w:p w:rsidR="00F95B2B" w:rsidRDefault="00F95B2B" w:rsidP="003C1256">
      <w:pPr>
        <w:pStyle w:val="ae"/>
        <w:numPr>
          <w:ilvl w:val="0"/>
          <w:numId w:val="1"/>
        </w:numPr>
        <w:spacing w:after="0" w:line="360" w:lineRule="auto"/>
        <w:ind w:left="714"/>
        <w:jc w:val="both"/>
        <w:rPr>
          <w:rFonts w:ascii="David" w:hAnsi="David" w:cs="David"/>
          <w:sz w:val="24"/>
          <w:szCs w:val="24"/>
        </w:rPr>
      </w:pPr>
      <w:r>
        <w:rPr>
          <w:rFonts w:ascii="David" w:hAnsi="David" w:cs="David" w:hint="cs"/>
          <w:sz w:val="24"/>
          <w:szCs w:val="24"/>
          <w:rtl/>
        </w:rPr>
        <w:t>לאור התוצאה ובהתחשב בכך שהמשיב אינו מיוצג תישא המבקשת בהוצאותיו בסך של 1,500 ₪.</w:t>
      </w:r>
    </w:p>
    <w:p w:rsidR="00C71485" w:rsidRPr="00C71485" w:rsidRDefault="00C71485" w:rsidP="00C71485">
      <w:pPr>
        <w:pStyle w:val="ae"/>
        <w:rPr>
          <w:rFonts w:ascii="David" w:hAnsi="David" w:cs="David"/>
          <w:sz w:val="24"/>
          <w:szCs w:val="24"/>
          <w:rtl/>
        </w:rPr>
      </w:pPr>
    </w:p>
    <w:p w:rsidR="00E23E0D" w:rsidRDefault="00E23E0D" w:rsidP="00E23E0D">
      <w:pPr>
        <w:spacing w:line="360" w:lineRule="auto"/>
        <w:jc w:val="both"/>
        <w:rPr>
          <w:rFonts w:ascii="David" w:hAnsi="David"/>
        </w:rPr>
      </w:pPr>
    </w:p>
    <w:p w:rsidR="002914D6" w:rsidRDefault="00904FA7">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11212">
        <w:rPr>
          <w:rFonts w:ascii="Arial" w:hAnsi="Arial"/>
          <w:noProof w:val="0"/>
          <w:rtl/>
        </w:rPr>
        <w:t xml:space="preserve"> היום,  </w:t>
      </w:r>
      <w:sdt>
        <w:sdtPr>
          <w:rPr>
            <w:rtl/>
          </w:rPr>
          <w:alias w:val="1455"/>
          <w:tag w:val="1455"/>
          <w:id w:val="1321697131"/>
          <w:text w:multiLine="1"/>
        </w:sdtPr>
        <w:sdtEndPr/>
        <w:sdtContent>
          <w:r>
            <w:rPr>
              <w:rFonts w:ascii="Arial" w:hAnsi="Arial"/>
              <w:noProof w:val="0"/>
              <w:rtl/>
            </w:rPr>
            <w:t>כ"ה אייר תשפ"ד</w:t>
          </w:r>
        </w:sdtContent>
      </w:sdt>
      <w:r w:rsidR="00011212">
        <w:rPr>
          <w:rFonts w:ascii="Arial" w:hAnsi="Arial"/>
          <w:noProof w:val="0"/>
          <w:rtl/>
        </w:rPr>
        <w:t xml:space="preserve">, </w:t>
      </w:r>
      <w:sdt>
        <w:sdtPr>
          <w:rPr>
            <w:rtl/>
          </w:rPr>
          <w:alias w:val="1456"/>
          <w:tag w:val="1456"/>
          <w:id w:val="1987278298"/>
          <w:text w:multiLine="1"/>
        </w:sdtPr>
        <w:sdtEndPr/>
        <w:sdtContent>
          <w:r>
            <w:rPr>
              <w:rFonts w:ascii="Arial" w:hAnsi="Arial"/>
              <w:noProof w:val="0"/>
              <w:rtl/>
            </w:rPr>
            <w:t>02 יוני 2024</w:t>
          </w:r>
        </w:sdtContent>
      </w:sdt>
      <w:r w:rsidR="00011212">
        <w:rPr>
          <w:rFonts w:ascii="Arial" w:hAnsi="Arial"/>
          <w:noProof w:val="0"/>
          <w:rtl/>
        </w:rPr>
        <w:t>, בהעדר הצדדים.</w:t>
      </w:r>
    </w:p>
    <w:p w:rsidR="00CC29C2" w:rsidRDefault="00CC29C2" w:rsidP="00CC29C2">
      <w:pPr>
        <w:spacing w:line="360" w:lineRule="auto"/>
        <w:jc w:val="center"/>
        <w:rPr>
          <w:rFonts w:ascii="Arial" w:hAnsi="Arial"/>
          <w:noProof w:val="0"/>
          <w:rtl/>
        </w:rPr>
      </w:pPr>
    </w:p>
    <w:p w:rsidR="002914D6" w:rsidRDefault="00CC29C2" w:rsidP="00CC29C2">
      <w:pPr>
        <w:spacing w:line="360" w:lineRule="auto"/>
        <w:jc w:val="center"/>
      </w:pPr>
      <w:r>
        <w:rPr>
          <w:rFonts w:ascii="Arial" w:hAnsi="Arial"/>
          <w:noProof w:val="0"/>
          <w:rtl/>
        </w:rPr>
        <w:tab/>
      </w:r>
      <w:r>
        <w:rPr>
          <w:rFonts w:ascii="Arial" w:hAnsi="Arial"/>
          <w:noProof w:val="0"/>
          <w:rtl/>
        </w:rPr>
        <w:tab/>
      </w:r>
      <w:sdt>
        <w:sdtPr>
          <w:rPr>
            <w:rtl/>
          </w:rPr>
          <w:alias w:val="MergeField"/>
          <w:tag w:val="1237"/>
          <w:id w:val="-1452926129"/>
        </w:sdtPr>
        <w:sdtEndPr/>
        <w:sdtContent>
          <w:r w:rsidR="009139FB">
            <w:drawing>
              <wp:inline distT="0" distB="0" distL="0" distR="0" wp14:editId="50D07946">
                <wp:extent cx="1971675" cy="533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5" cstate="print">
                          <a:extLst/>
                        </a:blip>
                        <a:stretch>
                          <a:fillRect/>
                        </a:stretch>
                      </pic:blipFill>
                      <pic:spPr>
                        <a:xfrm>
                          <a:off x="0" y="0"/>
                          <a:ext cx="1971675" cy="533400"/>
                        </a:xfrm>
                        <a:prstGeom prst="rect">
                          <a:avLst/>
                        </a:prstGeom>
                      </pic:spPr>
                    </pic:pic>
                  </a:graphicData>
                </a:graphic>
              </wp:inline>
            </w:drawing>
          </w:r>
        </w:sdtContent>
      </w:sdt>
    </w:p>
    <w:p w:rsidR="002914D6" w:rsidRDefault="002914D6" w:rsidP="00CC29C2">
      <w:pPr>
        <w:spacing w:line="360" w:lineRule="auto"/>
        <w:jc w:val="center"/>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even" r:id="rId16"/>
      <w:headerReference w:type="default" r:id="rId17"/>
      <w:footerReference w:type="even" r:id="rId18"/>
      <w:footerReference w:type="default" r:id="rId19"/>
      <w:headerReference w:type="first" r:id="rId20"/>
      <w:footerReference w:type="first" r:id="rId21"/>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7820" w:rsidRDefault="009E7820">
      <w:r>
        <w:separator/>
      </w:r>
    </w:p>
  </w:endnote>
  <w:endnote w:type="continuationSeparator" w:id="0">
    <w:p w:rsidR="009E7820" w:rsidRDefault="009E78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FrankRuehl">
    <w:panose1 w:val="020E05030601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TUR">
    <w:altName w:val="Arial"/>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Miriam">
    <w:panose1 w:val="020B0502050101010101"/>
    <w:charset w:val="00"/>
    <w:family w:val="swiss"/>
    <w:pitch w:val="variable"/>
    <w:sig w:usb0="00000803" w:usb1="00000000" w:usb2="00000000" w:usb3="00000000" w:csb0="00000021"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7DDD" w:rsidRDefault="00057DDD">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B234CE">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057DDD">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057DDD">
      <w:rPr>
        <w:rStyle w:val="ab"/>
        <w:rtl/>
      </w:rPr>
      <w:t>5</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7DDD" w:rsidRDefault="00057DDD">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7820" w:rsidRDefault="009E7820">
      <w:r>
        <w:separator/>
      </w:r>
    </w:p>
  </w:footnote>
  <w:footnote w:type="continuationSeparator" w:id="0">
    <w:p w:rsidR="009E7820" w:rsidRDefault="009E78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7DDD" w:rsidRDefault="00057DDD">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2856D3">
    <w:pPr>
      <w:pStyle w:val="a3"/>
      <w:jc w:val="center"/>
      <w:rPr>
        <w:rFonts w:cs="FrankRuehl"/>
        <w:noProof w:val="0"/>
        <w:sz w:val="28"/>
        <w:szCs w:val="28"/>
        <w:rtl/>
      </w:rPr>
    </w:pPr>
    <w:r>
      <w:rPr>
        <w:rFonts w:cs="FrankRuehl"/>
        <w:sz w:val="28"/>
        <w:szCs w:val="28"/>
      </w:rPr>
      <w:drawing>
        <wp:inline distT="0" distB="0" distL="0" distR="0" wp14:anchorId="248D23FE" wp14:editId="55AA8DA1">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14"/>
      <w:gridCol w:w="3591"/>
    </w:tblGrid>
    <w:tr w:rsidR="002914D6">
      <w:trPr>
        <w:trHeight w:hRule="exact" w:val="418"/>
        <w:jc w:val="center"/>
      </w:trPr>
      <w:sdt>
        <w:sdtPr>
          <w:rPr>
            <w:rtl/>
          </w:rPr>
          <w:alias w:val="1174"/>
          <w:tag w:val="1174"/>
          <w:id w:val="-76207428"/>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בירושלים</w:t>
              </w:r>
            </w:p>
          </w:tc>
        </w:sdtContent>
      </w:sdt>
    </w:tr>
    <w:tr w:rsidR="002914D6">
      <w:trPr>
        <w:trHeight w:val="337"/>
        <w:jc w:val="center"/>
      </w:trPr>
      <w:tc>
        <w:tcPr>
          <w:tcW w:w="5047" w:type="dxa"/>
        </w:tcPr>
        <w:p w:rsidR="002914D6" w:rsidRDefault="002914D6">
          <w:pPr>
            <w:rPr>
              <w:b/>
              <w:bCs/>
              <w:noProof w:val="0"/>
              <w:sz w:val="26"/>
              <w:szCs w:val="26"/>
              <w:rtl/>
            </w:rPr>
          </w:pPr>
        </w:p>
      </w:tc>
      <w:sdt>
        <w:sdtPr>
          <w:rPr>
            <w:rtl/>
          </w:rPr>
          <w:alias w:val="1456"/>
          <w:tag w:val="1456"/>
          <w:id w:val="-1143425472"/>
          <w:text/>
        </w:sdtPr>
        <w:sdtEndPr/>
        <w:sdtContent>
          <w:tc>
            <w:tcPr>
              <w:tcW w:w="3674" w:type="dxa"/>
            </w:tcPr>
            <w:p w:rsidR="002914D6" w:rsidRDefault="00011212">
              <w:pPr>
                <w:pStyle w:val="a3"/>
                <w:jc w:val="right"/>
                <w:rPr>
                  <w:b/>
                  <w:bCs/>
                  <w:noProof w:val="0"/>
                  <w:sz w:val="26"/>
                  <w:szCs w:val="26"/>
                  <w:rtl/>
                </w:rPr>
              </w:pPr>
              <w:r>
                <w:rPr>
                  <w:b/>
                  <w:bCs/>
                  <w:noProof w:val="0"/>
                  <w:sz w:val="26"/>
                  <w:szCs w:val="26"/>
                  <w:rtl/>
                </w:rPr>
                <w:t>02 יוני 2024</w:t>
              </w:r>
            </w:p>
          </w:tc>
        </w:sdtContent>
      </w:sdt>
    </w:tr>
    <w:tr w:rsidR="002914D6">
      <w:trPr>
        <w:trHeight w:val="337"/>
        <w:jc w:val="center"/>
      </w:trPr>
      <w:tc>
        <w:tcPr>
          <w:tcW w:w="8721" w:type="dxa"/>
          <w:gridSpan w:val="2"/>
        </w:tcPr>
        <w:p w:rsidR="002914D6" w:rsidRDefault="009E7820" w:rsidP="009139FB">
          <w:pPr>
            <w:rPr>
              <w:b/>
              <w:bCs/>
              <w:noProof w:val="0"/>
              <w:sz w:val="26"/>
              <w:szCs w:val="26"/>
              <w:rtl/>
            </w:rPr>
          </w:pPr>
          <w:sdt>
            <w:sdtPr>
              <w:rPr>
                <w:rtl/>
              </w:rPr>
              <w:alias w:val="1170"/>
              <w:tag w:val="1170"/>
              <w:id w:val="632838173"/>
              <w:text w:multiLine="1"/>
            </w:sdtPr>
            <w:sdtEndPr/>
            <w:sdtContent>
              <w:r w:rsidR="00CC29C2">
                <w:rPr>
                  <w:b/>
                  <w:bCs/>
                  <w:noProof w:val="0"/>
                  <w:sz w:val="26"/>
                  <w:szCs w:val="26"/>
                  <w:rtl/>
                </w:rPr>
                <w:t>תמ"ש</w:t>
              </w:r>
            </w:sdtContent>
          </w:sdt>
          <w:r w:rsidR="00011212">
            <w:rPr>
              <w:b/>
              <w:bCs/>
              <w:noProof w:val="0"/>
              <w:sz w:val="26"/>
              <w:szCs w:val="26"/>
              <w:rtl/>
            </w:rPr>
            <w:t xml:space="preserve"> </w:t>
          </w:r>
          <w:bookmarkStart w:id="0" w:name="_GoBack"/>
          <w:sdt>
            <w:sdtPr>
              <w:rPr>
                <w:rtl/>
              </w:rPr>
              <w:alias w:val="1171"/>
              <w:tag w:val="1171"/>
              <w:id w:val="-1684506308"/>
              <w:text w:multiLine="1"/>
            </w:sdtPr>
            <w:sdtEndPr/>
            <w:sdtContent>
              <w:r w:rsidR="00CC29C2">
                <w:rPr>
                  <w:b/>
                  <w:bCs/>
                  <w:noProof w:val="0"/>
                  <w:sz w:val="26"/>
                  <w:szCs w:val="26"/>
                  <w:rtl/>
                </w:rPr>
                <w:t>50669-07-23</w:t>
              </w:r>
            </w:sdtContent>
          </w:sdt>
          <w:bookmarkEnd w:id="0"/>
          <w:r w:rsidR="00011212">
            <w:rPr>
              <w:b/>
              <w:bCs/>
              <w:noProof w:val="0"/>
              <w:sz w:val="26"/>
              <w:szCs w:val="26"/>
              <w:rtl/>
            </w:rPr>
            <w:t xml:space="preserve"> </w:t>
          </w:r>
          <w:sdt>
            <w:sdtPr>
              <w:rPr>
                <w:rtl/>
              </w:rPr>
              <w:alias w:val="1172"/>
              <w:tag w:val="1172"/>
              <w:id w:val="1484202908"/>
              <w:text w:multiLine="1"/>
            </w:sdtPr>
            <w:sdtEndPr/>
            <w:sdtContent>
              <w:r w:rsidR="009139FB">
                <w:rPr>
                  <w:rFonts w:hint="cs"/>
                  <w:b/>
                  <w:bCs/>
                  <w:noProof w:val="0"/>
                  <w:sz w:val="26"/>
                  <w:szCs w:val="26"/>
                  <w:rtl/>
                </w:rPr>
                <w:t>פלונית נ' אלמוני</w:t>
              </w:r>
            </w:sdtContent>
          </w:sdt>
        </w:p>
        <w:p w:rsidR="002914D6" w:rsidRDefault="002914D6">
          <w:pPr>
            <w:rPr>
              <w:rtl/>
            </w:rPr>
          </w:pPr>
        </w:p>
        <w:p w:rsidR="004F08AC" w:rsidRDefault="004F08AC">
          <w:pPr>
            <w:rPr>
              <w:rtl/>
            </w:rPr>
          </w:pPr>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7DDD" w:rsidRDefault="00057DD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6001B"/>
    <w:multiLevelType w:val="hybridMultilevel"/>
    <w:tmpl w:val="F984D32E"/>
    <w:lvl w:ilvl="0" w:tplc="213A197E">
      <w:start w:val="1"/>
      <w:numFmt w:val="decimal"/>
      <w:pStyle w:val="Ruller4"/>
      <w:lvlText w:val="%1."/>
      <w:lvlJc w:val="left"/>
      <w:pPr>
        <w:tabs>
          <w:tab w:val="num" w:pos="907"/>
        </w:tabs>
        <w:ind w:left="0" w:firstLine="0"/>
      </w:pPr>
      <w:rPr>
        <w:rFonts w:ascii="FrankRuehl" w:hAnsi="FrankRuehl" w:cs="FrankRuehl" w:hint="default"/>
        <w:b w:val="0"/>
        <w:bCs w:val="0"/>
        <w:i w:val="0"/>
        <w:iCs w:val="0"/>
        <w:caps w:val="0"/>
        <w:smallCaps w:val="0"/>
        <w:strike w:val="0"/>
        <w:dstrike w:val="0"/>
        <w:vanish w:val="0"/>
        <w:webHidden w:val="0"/>
        <w:color w:val="auto"/>
        <w:spacing w:val="10"/>
        <w:w w:val="100"/>
        <w:kern w:val="0"/>
        <w:position w:val="0"/>
        <w:sz w:val="22"/>
        <w:szCs w:val="28"/>
        <w:u w:val="none"/>
        <w:effect w:val="none"/>
        <w:vertAlign w:val="baseline"/>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15:restartNumberingAfterBreak="0">
    <w:nsid w:val="2CF563C7"/>
    <w:multiLevelType w:val="hybridMultilevel"/>
    <w:tmpl w:val="42B6AA44"/>
    <w:lvl w:ilvl="0" w:tplc="8E0E5898">
      <w:start w:val="1"/>
      <w:numFmt w:val="decimal"/>
      <w:lvlText w:val="%1."/>
      <w:lvlJc w:val="left"/>
      <w:pPr>
        <w:ind w:left="720" w:hanging="360"/>
      </w:pPr>
      <w:rPr>
        <w:rFonts w:ascii="David" w:hAnsi="David" w:cs="David" w:hint="default"/>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42284914"/>
    <w:multiLevelType w:val="hybridMultilevel"/>
    <w:tmpl w:val="42B6AA44"/>
    <w:lvl w:ilvl="0" w:tplc="8E0E5898">
      <w:start w:val="1"/>
      <w:numFmt w:val="decimal"/>
      <w:lvlText w:val="%1."/>
      <w:lvlJc w:val="left"/>
      <w:pPr>
        <w:ind w:left="720" w:hanging="360"/>
      </w:pPr>
      <w:rPr>
        <w:rFonts w:ascii="David" w:hAnsi="David" w:cs="David" w:hint="default"/>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459A69BD"/>
    <w:multiLevelType w:val="hybridMultilevel"/>
    <w:tmpl w:val="42B6AA44"/>
    <w:lvl w:ilvl="0" w:tplc="8E0E5898">
      <w:start w:val="1"/>
      <w:numFmt w:val="decimal"/>
      <w:lvlText w:val="%1."/>
      <w:lvlJc w:val="left"/>
      <w:pPr>
        <w:ind w:left="720" w:hanging="360"/>
      </w:pPr>
      <w:rPr>
        <w:rFonts w:ascii="David" w:hAnsi="David" w:cs="David" w:hint="default"/>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49AE6E5E"/>
    <w:multiLevelType w:val="hybridMultilevel"/>
    <w:tmpl w:val="BF3E65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50272EE5"/>
    <w:multiLevelType w:val="hybridMultilevel"/>
    <w:tmpl w:val="95D8F6AE"/>
    <w:lvl w:ilvl="0" w:tplc="0409000F">
      <w:start w:val="1"/>
      <w:numFmt w:val="decimal"/>
      <w:lvlText w:val="%1."/>
      <w:lvlJc w:val="left"/>
      <w:pPr>
        <w:ind w:left="1434" w:hanging="360"/>
      </w:pPr>
    </w:lvl>
    <w:lvl w:ilvl="1" w:tplc="04090019" w:tentative="1">
      <w:start w:val="1"/>
      <w:numFmt w:val="lowerLetter"/>
      <w:lvlText w:val="%2."/>
      <w:lvlJc w:val="left"/>
      <w:pPr>
        <w:ind w:left="2154" w:hanging="360"/>
      </w:pPr>
    </w:lvl>
    <w:lvl w:ilvl="2" w:tplc="0409001B" w:tentative="1">
      <w:start w:val="1"/>
      <w:numFmt w:val="lowerRoman"/>
      <w:lvlText w:val="%3."/>
      <w:lvlJc w:val="right"/>
      <w:pPr>
        <w:ind w:left="2874" w:hanging="180"/>
      </w:pPr>
    </w:lvl>
    <w:lvl w:ilvl="3" w:tplc="0409000F" w:tentative="1">
      <w:start w:val="1"/>
      <w:numFmt w:val="decimal"/>
      <w:lvlText w:val="%4."/>
      <w:lvlJc w:val="left"/>
      <w:pPr>
        <w:ind w:left="3594" w:hanging="360"/>
      </w:pPr>
    </w:lvl>
    <w:lvl w:ilvl="4" w:tplc="04090019" w:tentative="1">
      <w:start w:val="1"/>
      <w:numFmt w:val="lowerLetter"/>
      <w:lvlText w:val="%5."/>
      <w:lvlJc w:val="left"/>
      <w:pPr>
        <w:ind w:left="4314" w:hanging="360"/>
      </w:pPr>
    </w:lvl>
    <w:lvl w:ilvl="5" w:tplc="0409001B" w:tentative="1">
      <w:start w:val="1"/>
      <w:numFmt w:val="lowerRoman"/>
      <w:lvlText w:val="%6."/>
      <w:lvlJc w:val="right"/>
      <w:pPr>
        <w:ind w:left="5034" w:hanging="180"/>
      </w:pPr>
    </w:lvl>
    <w:lvl w:ilvl="6" w:tplc="0409000F" w:tentative="1">
      <w:start w:val="1"/>
      <w:numFmt w:val="decimal"/>
      <w:lvlText w:val="%7."/>
      <w:lvlJc w:val="left"/>
      <w:pPr>
        <w:ind w:left="5754" w:hanging="360"/>
      </w:pPr>
    </w:lvl>
    <w:lvl w:ilvl="7" w:tplc="04090019" w:tentative="1">
      <w:start w:val="1"/>
      <w:numFmt w:val="lowerLetter"/>
      <w:lvlText w:val="%8."/>
      <w:lvlJc w:val="left"/>
      <w:pPr>
        <w:ind w:left="6474" w:hanging="360"/>
      </w:pPr>
    </w:lvl>
    <w:lvl w:ilvl="8" w:tplc="0409001B" w:tentative="1">
      <w:start w:val="1"/>
      <w:numFmt w:val="lowerRoman"/>
      <w:lvlText w:val="%9."/>
      <w:lvlJc w:val="right"/>
      <w:pPr>
        <w:ind w:left="7194" w:hanging="180"/>
      </w:pPr>
    </w:lvl>
  </w:abstractNum>
  <w:abstractNum w:abstractNumId="6" w15:restartNumberingAfterBreak="0">
    <w:nsid w:val="5515586F"/>
    <w:multiLevelType w:val="hybridMultilevel"/>
    <w:tmpl w:val="42B6AA44"/>
    <w:lvl w:ilvl="0" w:tplc="8E0E5898">
      <w:start w:val="1"/>
      <w:numFmt w:val="decimal"/>
      <w:lvlText w:val="%1."/>
      <w:lvlJc w:val="left"/>
      <w:pPr>
        <w:ind w:left="720" w:hanging="360"/>
      </w:pPr>
      <w:rPr>
        <w:rFonts w:ascii="David" w:hAnsi="David" w:cs="David" w:hint="default"/>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598A4BE4"/>
    <w:multiLevelType w:val="hybridMultilevel"/>
    <w:tmpl w:val="6388E608"/>
    <w:lvl w:ilvl="0" w:tplc="5D226CFC">
      <w:start w:val="1"/>
      <w:numFmt w:val="decimal"/>
      <w:lvlText w:val="%1."/>
      <w:lvlJc w:val="left"/>
      <w:pPr>
        <w:ind w:left="720" w:hanging="360"/>
      </w:pPr>
      <w:rPr>
        <w:rFonts w:ascii="David" w:hAnsi="David" w:cs="David" w:hint="default"/>
        <w:b w:val="0"/>
        <w:bCs w:val="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5D915E16"/>
    <w:multiLevelType w:val="hybridMultilevel"/>
    <w:tmpl w:val="42B6AA44"/>
    <w:lvl w:ilvl="0" w:tplc="8E0E5898">
      <w:start w:val="1"/>
      <w:numFmt w:val="decimal"/>
      <w:lvlText w:val="%1."/>
      <w:lvlJc w:val="left"/>
      <w:pPr>
        <w:ind w:left="720" w:hanging="360"/>
      </w:pPr>
      <w:rPr>
        <w:rFonts w:ascii="David" w:hAnsi="David" w:cs="David" w:hint="default"/>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63B43FC1"/>
    <w:multiLevelType w:val="hybridMultilevel"/>
    <w:tmpl w:val="42B6AA44"/>
    <w:lvl w:ilvl="0" w:tplc="8E0E5898">
      <w:start w:val="1"/>
      <w:numFmt w:val="decimal"/>
      <w:lvlText w:val="%1."/>
      <w:lvlJc w:val="left"/>
      <w:pPr>
        <w:ind w:left="720" w:hanging="360"/>
      </w:pPr>
      <w:rPr>
        <w:rFonts w:ascii="David" w:hAnsi="David" w:cs="David" w:hint="default"/>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712D1CD7"/>
    <w:multiLevelType w:val="hybridMultilevel"/>
    <w:tmpl w:val="8E861518"/>
    <w:lvl w:ilvl="0" w:tplc="FE38324A">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6"/>
  </w:num>
  <w:num w:numId="7">
    <w:abstractNumId w:val="4"/>
  </w:num>
  <w:num w:numId="8">
    <w:abstractNumId w:val="5"/>
  </w:num>
  <w:num w:numId="9">
    <w:abstractNumId w:val="1"/>
  </w:num>
  <w:num w:numId="10">
    <w:abstractNumId w:val="2"/>
  </w:num>
  <w:num w:numId="11">
    <w:abstractNumId w:val="9"/>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450219"/>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450219&amp;lt;/CaseID&amp;gt;_x000d__x000a_        &amp;lt;CaseMonth&amp;gt;7&amp;lt;/CaseMonth&amp;gt;_x000d__x000a_        &amp;lt;CaseYear&amp;gt;2023&amp;lt;/CaseYear&amp;gt;_x000d__x000a_        &amp;lt;CaseNumber&amp;gt;50669&amp;lt;/CaseNumber&amp;gt;_x000d__x000a_        &amp;lt;NumeratorGroupID&amp;gt;1&amp;lt;/NumeratorGroupID&amp;gt;_x000d__x000a_        &amp;lt;CaseName&amp;gt;אונגר נ&amp;#39; לוין אונגר&amp;lt;/CaseName&amp;gt;_x000d__x000a_        &amp;lt;CourtID&amp;gt;30&amp;lt;/CourtID&amp;gt;_x000d__x000a_        &amp;lt;CaseTypeID&amp;gt;15&amp;lt;/CaseTypeID&amp;gt;_x000d__x000a_        &amp;lt;CaseInterestID&amp;gt;10512&amp;lt;/CaseInterestID&amp;gt;_x000d__x000a_        &amp;lt;CaseJudgeName&amp;gt;אורית בן דור ליבל&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0669-07-23&amp;lt;/CaseDisplayIdentifier&amp;gt;_x000d__x000a_        &amp;lt;CaseTypeDesc&amp;gt;תמ&amp;quot;ש&amp;lt;/CaseTypeDesc&amp;gt;_x000d__x000a_        &amp;lt;CourtDesc&amp;gt;שלום ירושלים&amp;lt;/CourtDesc&amp;gt;_x000d__x000a_        &amp;lt;CaseStageDesc&amp;gt;תיק אלקטרוני&amp;lt;/CaseStageDesc&amp;gt;_x000d__x000a_        &amp;lt;IsUnpaidFeeExist&amp;gt;false&amp;lt;/IsUnpaidFeeExist&amp;gt;_x000d__x000a_        &amp;lt;CaseNextDeterminingTask&amp;gt;141&amp;lt;/CaseNextDeterminingTask&amp;gt;_x000d__x000a_        &amp;lt;CaseOpenDate&amp;gt;2023-07-23T09:15:00+03:00&amp;lt;/CaseOpenDate&amp;gt;_x000d__x000a_        &amp;lt;PleaTypeID&amp;gt;4&amp;lt;/PleaTypeID&amp;gt;_x000d__x000a_        &amp;lt;CourtLevelID&amp;gt;1&amp;lt;/CourtLevelID&amp;gt;_x000d__x000a_        &amp;lt;CourtLevelCaseTypeInterestID&amp;gt;1768&amp;lt;/CourtLevelCaseTypeInterestID&amp;gt;_x000d__x000a_        &amp;lt;CaseJudgeFirstName&amp;gt;אורית&amp;lt;/CaseJudgeFirstName&amp;gt;_x000d__x000a_        &amp;lt;CaseJudgeLastName&amp;gt;בן דור ליבל&amp;lt;/CaseJudgeLastName&amp;gt;_x000d__x000a_        &amp;lt;JudicalPersonID&amp;gt;032061806@GOV.IL&amp;lt;/JudicalPersonID&amp;gt;_x000d__x000a_        &amp;lt;IsJudicalPanel&amp;gt;false&amp;lt;/IsJudicalPanel&amp;gt;_x000d__x000a_        &amp;lt;CourtDisplayName&amp;gt;בית משפט לענייני משפחה בירושלים&amp;lt;/CourtDisplayName&amp;gt;_x000d__x000a_        &amp;lt;IsAllStartDataCollected&amp;gt;true&amp;lt;/IsAllStartDataCollected&amp;gt;_x000d__x000a_        &amp;lt;IsMainCase&amp;gt;false&amp;lt;/IsMainCase&amp;gt;_x000d__x000a_        &amp;lt;CaseDesc&amp;gt;בקשה מיום 8.2 הועברה למחדל למזכיר המשפטי ואושרה להגשה.הבקשה התקבלה לתיק. _x000d__x000a__x000d__x000a_&amp;quot;מאשרת הגשה. תודה&amp;quot;&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450219&amp;lt;/CaseID&amp;gt;_x000d__x000a_        &amp;lt;CaseMonth&amp;gt;7&amp;lt;/CaseMonth&amp;gt;_x000d__x000a_        &amp;lt;CaseYear&amp;gt;2023&amp;lt;/CaseYear&amp;gt;_x000d__x000a_        &amp;lt;CaseNumber&amp;gt;50669&amp;lt;/CaseNumber&amp;gt;_x000d__x000a_        &amp;lt;NumeratorGroupID&amp;gt;1&amp;lt;/NumeratorGroupID&amp;gt;_x000d__x000a_        &amp;lt;CaseName&amp;gt;אונגר נ&amp;#39; לוין אונגר&amp;lt;/CaseName&amp;gt;_x000d__x000a_        &amp;lt;CourtID&amp;gt;30&amp;lt;/CourtID&amp;gt;_x000d__x000a_        &amp;lt;CaseTypeID&amp;gt;15&amp;lt;/CaseTypeID&amp;gt;_x000d__x000a_        &amp;lt;CaseInterestID&amp;gt;10512&amp;lt;/CaseInterestID&amp;gt;_x000d__x000a_        &amp;lt;CaseJudgeName&amp;gt;אורית בן דור ליבל&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0669-07-23&amp;lt;/CaseDisplayIdentifier&amp;gt;_x000d__x000a_        &amp;lt;CaseTypeDesc&amp;gt;תמ&amp;quot;ש&amp;lt;/CaseTypeDesc&amp;gt;_x000d__x000a_        &amp;lt;CourtDesc&amp;gt;שלום ירושלים&amp;lt;/CourtDesc&amp;gt;_x000d__x000a_        &amp;lt;CaseStageDesc&amp;gt;תיק אלקטרוני&amp;lt;/CaseStageDesc&amp;gt;_x000d__x000a_        &amp;lt;CaseNextDeterminingTask&amp;gt;141&amp;lt;/CaseNextDeterminingTask&amp;gt;_x000d__x000a_        &amp;lt;CaseOpenDate&amp;gt;2023-07-23T09:15:00+03:00&amp;lt;/CaseOpenDate&amp;gt;_x000d__x000a_        &amp;lt;PleaTypeID&amp;gt;4&amp;lt;/PleaTypeID&amp;gt;_x000d__x000a_        &amp;lt;CourtLevelID&amp;gt;1&amp;lt;/CourtLevelID&amp;gt;_x000d__x000a_        &amp;lt;CourtLevelCaseTypeInterestID&amp;gt;1768&amp;lt;/CourtLevelCaseTypeInterestID&amp;gt;_x000d__x000a_        &amp;lt;CaseJudgeFirstName&amp;gt;אורית&amp;lt;/CaseJudgeFirstName&amp;gt;_x000d__x000a_        &amp;lt;CaseJudgeLastName&amp;gt;בן דור ליבל&amp;lt;/CaseJudgeLastName&amp;gt;_x000d__x000a_        &amp;lt;JudicalPersonID&amp;gt;032061806@GOV.IL&amp;lt;/JudicalPersonID&amp;gt;_x000d__x000a_        &amp;lt;IsJudicalPanel&amp;gt;false&amp;lt;/IsJudicalPanel&amp;gt;_x000d__x000a_        &amp;lt;CourtDisplayName&amp;gt;בית משפט לענייני משפחה בירושלים&amp;lt;/CourtDisplayName&amp;gt;_x000d__x000a_        &amp;lt;IsAllStartDataCollected&amp;gt;true&amp;lt;/IsAllStartDataCollected&amp;gt;_x000d__x000a_        &amp;lt;IsMainCase&amp;gt;false&amp;lt;/IsMainCase&amp;gt;_x000d__x000a_        &amp;lt;CaseDesc&amp;gt;בקשה מיום 8.2 הועברה למחדל למזכיר המשפטי ואושרה להגשה.הבקשה התקבלה לתיק. _x000d__x000a__x000d__x000a_&amp;quot;מאשרת הגשה. תודה&amp;quot;&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0226295&amp;lt;/DecisionID&amp;gt;_x000d__x000a_        &amp;lt;DecisionNumber&amp;gt;9&amp;lt;/DecisionNumber&amp;gt;_x000d__x000a_        &amp;lt;DecisionName&amp;gt;החלטה על בקשה של נתבע 1 בקשה לדחייה על הסף&amp;lt;/DecisionName&amp;gt;_x000d__x000a_        &amp;lt;DecisionStatusID&amp;gt;1&amp;lt;/DecisionStatusID&amp;gt;_x000d__x000a_        &amp;lt;DecisionStatusChangeDate&amp;gt;2024-06-01T14:35:33.457+03:00&amp;lt;/DecisionStatusChangeDate&amp;gt;_x000d__x000a_        &amp;lt;DecisionSignatureDate&amp;gt;2024-06-01T14:35:32.75+03:00&amp;lt;/DecisionSignatureDate&amp;gt;_x000d__x000a_        &amp;lt;DecisionSignatureUserID&amp;gt;032061806@GOV.IL&amp;lt;/DecisionSignatureUserID&amp;gt;_x000d__x000a_        &amp;lt;DecisionCreateDate&amp;gt;2024-03-03T09:38:41.69+02:00&amp;lt;/DecisionCreateDate&amp;gt;_x000d__x000a_        &amp;lt;DecisionChangeDate&amp;gt;2024-06-01T14:35:33.53+03:00&amp;lt;/DecisionChangeDate&amp;gt;_x000d__x000a_        &amp;lt;DecisionChangeUserID&amp;gt;03206180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36233267&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206180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2061806@GOV.IL&amp;lt;/DecisionCreationUserID&amp;gt;_x000d__x000a_        &amp;lt;DecisionDisplayName&amp;gt;החלטה על בקשה של נתבע 1 בקשה לדחייה על הסף&amp;lt;/DecisionDisplayName&amp;gt;_x000d__x000a_        &amp;lt;IsScanned&amp;gt;false&amp;lt;/IsScanned&amp;gt;_x000d__x000a_        &amp;lt;DecisionSignatureUserName&amp;gt;אורית בן דור ליבל&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9&amp;lt;/DecisionNumberInCase&amp;gt;_x000d__x000a_      &amp;lt;/dt_Decision&amp;gt;_x000d__x000a_      &amp;lt;dt_DecisionCase diffgr:id=&amp;quot;dt_DecisionCase1&amp;quot; msdata:rowOrder=&amp;quot;0&amp;quot;&amp;gt;_x000d__x000a_        &amp;lt;DecisionID&amp;gt;150226295&amp;lt;/DecisionID&amp;gt;_x000d__x000a_        &amp;lt;CaseID&amp;gt;80450219&amp;lt;/CaseID&amp;gt;_x000d__x000a_        &amp;lt;IsOriginal&amp;gt;true&amp;lt;/IsOriginal&amp;gt;_x000d__x000a_        &amp;lt;IsDeleted&amp;gt;false&amp;lt;/IsDeleted&amp;gt;_x000d__x000a_        &amp;lt;CaseName&amp;gt;אונגר נ&amp;#39; לוין אונגר&amp;lt;/CaseName&amp;gt;_x000d__x000a_        &amp;lt;CaseDisplayIdentifier&amp;gt;50669-07-23 תמ&amp;quot;ש&amp;lt;/CaseDisplayIdentifier&amp;gt;_x000d__x000a_      &amp;lt;/dt_DecisionCase&amp;gt;_x000d__x000a_      &amp;lt;dt_DecisionMotion diffgr:id=&amp;quot;dt_DecisionMotion1&amp;quot; msdata:rowOrder=&amp;quot;0&amp;quot;&amp;gt;_x000d__x000a_        &amp;lt;DecisionID&amp;gt;150226295&amp;lt;/DecisionID&amp;gt;_x000d__x000a_        &amp;lt;MotionID&amp;gt;107040285&amp;lt;/MotionID&amp;gt;_x000d__x000a_        &amp;lt;IsOriginalMotion&amp;gt;true&amp;lt;/IsOriginalMotion&amp;gt;_x000d__x000a_        &amp;lt;MotionName&amp;gt;בקשה של נתבע 1 בקשה לדחייה על הסף&amp;lt;/MotionName&amp;gt;_x000d__x000a_        &amp;lt;MotionOpenDate&amp;gt;2024-01-23T13:34:15.48+02:00&amp;lt;/MotionOpenDate&amp;gt;_x000d__x000a_        &amp;lt;CaseID&amp;gt;80450219&amp;lt;/CaseID&amp;gt;_x000d__x000a_        &amp;lt;CaseDisplayIdentifier&amp;gt;50669-07-23 תמ&amp;quot;ש&amp;lt;/CaseDisplayIdentifier&amp;gt;_x000d__x000a_        &amp;lt;ProcessNumber&amp;gt;9&amp;lt;/ProcessNumber&amp;gt;_x000d__x000a_        &amp;lt;ListOfProcessIds&amp;gt;9&amp;lt;/ListOfProcessIds&amp;gt;_x000d__x000a_      &amp;lt;/dt_DecisionMotion&amp;gt;_x000d__x000a_    &amp;lt;/DecisionDS&amp;gt;_x000d__x000a_  &amp;lt;/diffgr:diffgram&amp;gt;_x000d__x000a_&amp;lt;/DecisionDS&amp;gt;"/>
    <w:docVar w:name="DecisionID" w:val="150226295"/>
    <w:docVar w:name="WordClientAssemblyName" w:val="NGCS.Decision.ClientWordBL"/>
    <w:docVar w:name="WordClientClassName" w:val="NGCS.Decision.ClientWordBL.DecisionClient"/>
  </w:docVars>
  <w:rsids>
    <w:rsidRoot w:val="002914D6"/>
    <w:rsid w:val="00011212"/>
    <w:rsid w:val="00040F3B"/>
    <w:rsid w:val="00057DDD"/>
    <w:rsid w:val="000770A5"/>
    <w:rsid w:val="00095B72"/>
    <w:rsid w:val="000A6B8C"/>
    <w:rsid w:val="000C012A"/>
    <w:rsid w:val="000D0B31"/>
    <w:rsid w:val="000F5E64"/>
    <w:rsid w:val="0014058F"/>
    <w:rsid w:val="0019474B"/>
    <w:rsid w:val="001C0058"/>
    <w:rsid w:val="001D18FC"/>
    <w:rsid w:val="002334EF"/>
    <w:rsid w:val="00273D47"/>
    <w:rsid w:val="002856D3"/>
    <w:rsid w:val="002914D6"/>
    <w:rsid w:val="002A21F2"/>
    <w:rsid w:val="002C1928"/>
    <w:rsid w:val="002F5307"/>
    <w:rsid w:val="00315BE5"/>
    <w:rsid w:val="00372ED9"/>
    <w:rsid w:val="003A0652"/>
    <w:rsid w:val="003B6299"/>
    <w:rsid w:val="003C1256"/>
    <w:rsid w:val="003C6D14"/>
    <w:rsid w:val="00460395"/>
    <w:rsid w:val="00496E76"/>
    <w:rsid w:val="004F08AC"/>
    <w:rsid w:val="004F4787"/>
    <w:rsid w:val="00530E94"/>
    <w:rsid w:val="00543DA7"/>
    <w:rsid w:val="00584A38"/>
    <w:rsid w:val="005B278F"/>
    <w:rsid w:val="005E095B"/>
    <w:rsid w:val="005E66BB"/>
    <w:rsid w:val="005F5377"/>
    <w:rsid w:val="00610145"/>
    <w:rsid w:val="00627CCA"/>
    <w:rsid w:val="00647EB3"/>
    <w:rsid w:val="006D5F66"/>
    <w:rsid w:val="00727DFC"/>
    <w:rsid w:val="007629BE"/>
    <w:rsid w:val="007921DE"/>
    <w:rsid w:val="007C3110"/>
    <w:rsid w:val="007E6124"/>
    <w:rsid w:val="00807A6C"/>
    <w:rsid w:val="00822AA5"/>
    <w:rsid w:val="00837DB7"/>
    <w:rsid w:val="0088037D"/>
    <w:rsid w:val="008A15FC"/>
    <w:rsid w:val="008C3D45"/>
    <w:rsid w:val="00904FA7"/>
    <w:rsid w:val="009139FB"/>
    <w:rsid w:val="00921E03"/>
    <w:rsid w:val="009A04C9"/>
    <w:rsid w:val="009B03B2"/>
    <w:rsid w:val="009D0F94"/>
    <w:rsid w:val="009D1711"/>
    <w:rsid w:val="009E44F0"/>
    <w:rsid w:val="009E7820"/>
    <w:rsid w:val="009F2DD7"/>
    <w:rsid w:val="00A63EDE"/>
    <w:rsid w:val="00A7661B"/>
    <w:rsid w:val="00AA3935"/>
    <w:rsid w:val="00AD2278"/>
    <w:rsid w:val="00AF4AA5"/>
    <w:rsid w:val="00B15459"/>
    <w:rsid w:val="00B234CE"/>
    <w:rsid w:val="00B31305"/>
    <w:rsid w:val="00B315DB"/>
    <w:rsid w:val="00B82458"/>
    <w:rsid w:val="00BD51D6"/>
    <w:rsid w:val="00C42AF6"/>
    <w:rsid w:val="00C44C86"/>
    <w:rsid w:val="00C71485"/>
    <w:rsid w:val="00CA318F"/>
    <w:rsid w:val="00CB0D9F"/>
    <w:rsid w:val="00CC29C2"/>
    <w:rsid w:val="00CE7F78"/>
    <w:rsid w:val="00D4021E"/>
    <w:rsid w:val="00DA6659"/>
    <w:rsid w:val="00DA714E"/>
    <w:rsid w:val="00DB076E"/>
    <w:rsid w:val="00DF08E8"/>
    <w:rsid w:val="00E15BB0"/>
    <w:rsid w:val="00E23E0D"/>
    <w:rsid w:val="00E62917"/>
    <w:rsid w:val="00E7299D"/>
    <w:rsid w:val="00E72C9F"/>
    <w:rsid w:val="00EC118E"/>
    <w:rsid w:val="00ED6132"/>
    <w:rsid w:val="00EE6BE3"/>
    <w:rsid w:val="00EF0456"/>
    <w:rsid w:val="00EF1EFE"/>
    <w:rsid w:val="00F50E07"/>
    <w:rsid w:val="00F74FDC"/>
    <w:rsid w:val="00F863E1"/>
    <w:rsid w:val="00F95B2B"/>
    <w:rsid w:val="00FB22E5"/>
    <w:rsid w:val="00FF0A81"/>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0994E4B-892E-4CB5-A467-2890117A1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9A04C9"/>
    <w:rPr>
      <w:color w:val="808080"/>
    </w:rPr>
  </w:style>
  <w:style w:type="table" w:styleId="ad">
    <w:name w:val="Grid Table Light"/>
    <w:basedOn w:val="a1"/>
    <w:uiPriority w:val="40"/>
    <w:rsid w:val="00DA714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e">
    <w:name w:val="List Paragraph"/>
    <w:basedOn w:val="a"/>
    <w:uiPriority w:val="34"/>
    <w:qFormat/>
    <w:rsid w:val="005E095B"/>
    <w:pPr>
      <w:spacing w:after="160" w:line="256" w:lineRule="auto"/>
      <w:ind w:left="720"/>
      <w:contextualSpacing/>
    </w:pPr>
    <w:rPr>
      <w:rFonts w:asciiTheme="minorHAnsi" w:eastAsiaTheme="minorHAnsi" w:hAnsiTheme="minorHAnsi" w:cstheme="minorBidi"/>
      <w:noProof w:val="0"/>
      <w:sz w:val="22"/>
      <w:szCs w:val="22"/>
    </w:rPr>
  </w:style>
  <w:style w:type="character" w:styleId="Hyperlink">
    <w:name w:val="Hyperlink"/>
    <w:basedOn w:val="a0"/>
    <w:uiPriority w:val="99"/>
    <w:semiHidden/>
    <w:unhideWhenUsed/>
    <w:rsid w:val="00E23E0D"/>
    <w:rPr>
      <w:color w:val="0000FF"/>
      <w:u w:val="single"/>
    </w:rPr>
  </w:style>
  <w:style w:type="character" w:customStyle="1" w:styleId="Ruller40">
    <w:name w:val="Ruller4 תו"/>
    <w:basedOn w:val="a0"/>
    <w:link w:val="Ruller41"/>
    <w:locked/>
    <w:rsid w:val="00E7299D"/>
    <w:rPr>
      <w:rFonts w:ascii="Arial TUR" w:hAnsi="Arial TUR" w:cs="FrankRuehl"/>
      <w:spacing w:val="10"/>
      <w:sz w:val="22"/>
      <w:szCs w:val="28"/>
    </w:rPr>
  </w:style>
  <w:style w:type="paragraph" w:customStyle="1" w:styleId="Ruller41">
    <w:name w:val="Ruller4"/>
    <w:basedOn w:val="a"/>
    <w:link w:val="Ruller40"/>
    <w:rsid w:val="00E7299D"/>
    <w:pPr>
      <w:tabs>
        <w:tab w:val="left" w:pos="800"/>
      </w:tabs>
      <w:overflowPunct w:val="0"/>
      <w:autoSpaceDE w:val="0"/>
      <w:autoSpaceDN w:val="0"/>
      <w:adjustRightInd w:val="0"/>
      <w:spacing w:line="360" w:lineRule="auto"/>
      <w:jc w:val="both"/>
    </w:pPr>
    <w:rPr>
      <w:rFonts w:ascii="Arial TUR" w:hAnsi="Arial TUR" w:cs="FrankRuehl"/>
      <w:noProof w:val="0"/>
      <w:spacing w:val="10"/>
      <w:sz w:val="22"/>
      <w:szCs w:val="28"/>
    </w:rPr>
  </w:style>
  <w:style w:type="paragraph" w:customStyle="1" w:styleId="Ruller5">
    <w:name w:val="Ruller5"/>
    <w:basedOn w:val="a"/>
    <w:rsid w:val="00E7299D"/>
    <w:pPr>
      <w:overflowPunct w:val="0"/>
      <w:autoSpaceDE w:val="0"/>
      <w:autoSpaceDN w:val="0"/>
      <w:adjustRightInd w:val="0"/>
      <w:ind w:left="1642" w:right="1282"/>
      <w:jc w:val="both"/>
    </w:pPr>
    <w:rPr>
      <w:rFonts w:ascii="Arial TUR" w:hAnsi="Arial TUR" w:cs="FrankRuehl"/>
      <w:noProof w:val="0"/>
      <w:spacing w:val="10"/>
      <w:sz w:val="22"/>
      <w:szCs w:val="28"/>
    </w:rPr>
  </w:style>
  <w:style w:type="character" w:customStyle="1" w:styleId="default">
    <w:name w:val="default"/>
    <w:basedOn w:val="a0"/>
    <w:rsid w:val="00E7299D"/>
    <w:rPr>
      <w:rFonts w:ascii="Times New Roman" w:hAnsi="Times New Roman" w:cs="Times New Roman" w:hint="default"/>
      <w:sz w:val="26"/>
      <w:szCs w:val="26"/>
    </w:rPr>
  </w:style>
  <w:style w:type="character" w:customStyle="1" w:styleId="Ruller42">
    <w:name w:val="Ruller 4 ממוספר תו"/>
    <w:link w:val="Ruller4"/>
    <w:locked/>
    <w:rsid w:val="00FB22E5"/>
    <w:rPr>
      <w:rFonts w:ascii="Garamond" w:hAnsi="Garamond" w:cs="FrankRuehl"/>
      <w:spacing w:val="10"/>
      <w:sz w:val="24"/>
      <w:szCs w:val="28"/>
    </w:rPr>
  </w:style>
  <w:style w:type="paragraph" w:customStyle="1" w:styleId="Ruller4">
    <w:name w:val="Ruller 4 ממוספר"/>
    <w:basedOn w:val="a"/>
    <w:next w:val="a"/>
    <w:link w:val="Ruller42"/>
    <w:rsid w:val="00FB22E5"/>
    <w:pPr>
      <w:numPr>
        <w:numId w:val="12"/>
      </w:numPr>
      <w:tabs>
        <w:tab w:val="left" w:pos="800"/>
      </w:tabs>
      <w:overflowPunct w:val="0"/>
      <w:autoSpaceDE w:val="0"/>
      <w:autoSpaceDN w:val="0"/>
      <w:adjustRightInd w:val="0"/>
      <w:spacing w:line="360" w:lineRule="auto"/>
      <w:jc w:val="both"/>
    </w:pPr>
    <w:rPr>
      <w:rFonts w:ascii="Garamond" w:hAnsi="Garamond" w:cs="FrankRuehl"/>
      <w:noProof w:val="0"/>
      <w:spacing w:val="10"/>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968848">
      <w:bodyDiv w:val="1"/>
      <w:marLeft w:val="0"/>
      <w:marRight w:val="0"/>
      <w:marTop w:val="0"/>
      <w:marBottom w:val="0"/>
      <w:divBdr>
        <w:top w:val="none" w:sz="0" w:space="0" w:color="auto"/>
        <w:left w:val="none" w:sz="0" w:space="0" w:color="auto"/>
        <w:bottom w:val="none" w:sz="0" w:space="0" w:color="auto"/>
        <w:right w:val="none" w:sz="0" w:space="0" w:color="auto"/>
      </w:divBdr>
    </w:div>
    <w:div w:id="69009557">
      <w:bodyDiv w:val="1"/>
      <w:marLeft w:val="0"/>
      <w:marRight w:val="0"/>
      <w:marTop w:val="0"/>
      <w:marBottom w:val="0"/>
      <w:divBdr>
        <w:top w:val="none" w:sz="0" w:space="0" w:color="auto"/>
        <w:left w:val="none" w:sz="0" w:space="0" w:color="auto"/>
        <w:bottom w:val="none" w:sz="0" w:space="0" w:color="auto"/>
        <w:right w:val="none" w:sz="0" w:space="0" w:color="auto"/>
      </w:divBdr>
    </w:div>
    <w:div w:id="114713296">
      <w:bodyDiv w:val="1"/>
      <w:marLeft w:val="0"/>
      <w:marRight w:val="0"/>
      <w:marTop w:val="0"/>
      <w:marBottom w:val="0"/>
      <w:divBdr>
        <w:top w:val="none" w:sz="0" w:space="0" w:color="auto"/>
        <w:left w:val="none" w:sz="0" w:space="0" w:color="auto"/>
        <w:bottom w:val="none" w:sz="0" w:space="0" w:color="auto"/>
        <w:right w:val="none" w:sz="0" w:space="0" w:color="auto"/>
      </w:divBdr>
    </w:div>
    <w:div w:id="137841901">
      <w:bodyDiv w:val="1"/>
      <w:marLeft w:val="0"/>
      <w:marRight w:val="0"/>
      <w:marTop w:val="0"/>
      <w:marBottom w:val="0"/>
      <w:divBdr>
        <w:top w:val="none" w:sz="0" w:space="0" w:color="auto"/>
        <w:left w:val="none" w:sz="0" w:space="0" w:color="auto"/>
        <w:bottom w:val="none" w:sz="0" w:space="0" w:color="auto"/>
        <w:right w:val="none" w:sz="0" w:space="0" w:color="auto"/>
      </w:divBdr>
    </w:div>
    <w:div w:id="947932511">
      <w:bodyDiv w:val="1"/>
      <w:marLeft w:val="0"/>
      <w:marRight w:val="0"/>
      <w:marTop w:val="0"/>
      <w:marBottom w:val="0"/>
      <w:divBdr>
        <w:top w:val="none" w:sz="0" w:space="0" w:color="auto"/>
        <w:left w:val="none" w:sz="0" w:space="0" w:color="auto"/>
        <w:bottom w:val="none" w:sz="0" w:space="0" w:color="auto"/>
        <w:right w:val="none" w:sz="0" w:space="0" w:color="auto"/>
      </w:divBdr>
    </w:div>
    <w:div w:id="1281259782">
      <w:bodyDiv w:val="1"/>
      <w:marLeft w:val="0"/>
      <w:marRight w:val="0"/>
      <w:marTop w:val="0"/>
      <w:marBottom w:val="0"/>
      <w:divBdr>
        <w:top w:val="none" w:sz="0" w:space="0" w:color="auto"/>
        <w:left w:val="none" w:sz="0" w:space="0" w:color="auto"/>
        <w:bottom w:val="none" w:sz="0" w:space="0" w:color="auto"/>
        <w:right w:val="none" w:sz="0" w:space="0" w:color="auto"/>
      </w:divBdr>
    </w:div>
    <w:div w:id="1300067083">
      <w:bodyDiv w:val="1"/>
      <w:marLeft w:val="0"/>
      <w:marRight w:val="0"/>
      <w:marTop w:val="0"/>
      <w:marBottom w:val="0"/>
      <w:divBdr>
        <w:top w:val="none" w:sz="0" w:space="0" w:color="auto"/>
        <w:left w:val="none" w:sz="0" w:space="0" w:color="auto"/>
        <w:bottom w:val="none" w:sz="0" w:space="0" w:color="auto"/>
        <w:right w:val="none" w:sz="0" w:space="0" w:color="auto"/>
      </w:divBdr>
    </w:div>
    <w:div w:id="1464423046">
      <w:bodyDiv w:val="1"/>
      <w:marLeft w:val="0"/>
      <w:marRight w:val="0"/>
      <w:marTop w:val="0"/>
      <w:marBottom w:val="0"/>
      <w:divBdr>
        <w:top w:val="none" w:sz="0" w:space="0" w:color="auto"/>
        <w:left w:val="none" w:sz="0" w:space="0" w:color="auto"/>
        <w:bottom w:val="none" w:sz="0" w:space="0" w:color="auto"/>
        <w:right w:val="none" w:sz="0" w:space="0" w:color="auto"/>
      </w:divBdr>
    </w:div>
    <w:div w:id="1504125287">
      <w:bodyDiv w:val="1"/>
      <w:marLeft w:val="0"/>
      <w:marRight w:val="0"/>
      <w:marTop w:val="0"/>
      <w:marBottom w:val="0"/>
      <w:divBdr>
        <w:top w:val="none" w:sz="0" w:space="0" w:color="auto"/>
        <w:left w:val="none" w:sz="0" w:space="0" w:color="auto"/>
        <w:bottom w:val="none" w:sz="0" w:space="0" w:color="auto"/>
        <w:right w:val="none" w:sz="0" w:space="0" w:color="auto"/>
      </w:divBdr>
    </w:div>
    <w:div w:id="1534877577">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867013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nevo.co.il/case/858107"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hyperlink" Target="http://www.nevo.co.il/case/17911609"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nevo.co.il/case/17931201" TargetMode="External"/><Relationship Id="rId5" Type="http://schemas.openxmlformats.org/officeDocument/2006/relationships/styles" Target="styles.xml"/><Relationship Id="rId15" Type="http://schemas.openxmlformats.org/officeDocument/2006/relationships/image" Target="media/image1.jpg"/><Relationship Id="rId23" Type="http://schemas.openxmlformats.org/officeDocument/2006/relationships/theme" Target="theme/theme1.xml"/><Relationship Id="rId10" Type="http://schemas.openxmlformats.org/officeDocument/2006/relationships/hyperlink" Target="http://www.nevo.co.il/case/17917207" TargetMode="External"/><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nevo.co.il/law/73254"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80450219</CaseID>
    <CaseJudicialPersonPresentationDS>
      <CaseJudicalPersonActive>
        <CaseID>80450219</CaseID>
        <MotionID>107040285</MotionID>
        <JudicialPersonID>032061806@GOV.IL</JudicialPersonID>
        <JudicialPersonTypeID>1</JudicialPersonTypeID>
        <JudicialTypeID>1</JudicialTypeID>
        <IsChairman>false</IsChairman>
        <TreatmentStartDate>2024-01-23T13:34:15.51+02:00</TreatmentStartDate>
        <TreatmentFinishDate>9999-12-31T23:59:59.997+02:00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שרית רחימי</FullName>
        <FirstName>שרית</FirstName>
        <LastName>רחימי</LastName>
        <PartyPropertyName/>
        <AuthenticationTypeAndNumber>מ.ר. 71914</AuthenticationTypeAndNumber>
        <RepresentatedOrRepresentativesNames>טליה לוין אונגר</RepresentatedOrRepresentativesNames>
        <RepresentatedOrRepresentativesCount>1</RepresentatedOrRepresentativesCount>
        <InvitedBy/>
        <CaseID>80450219</CaseID>
        <CaseJudicialPersonPresentationDS>
          <CaseJudicalPersonActive>
            <CaseID>80450219</CaseID>
            <MotionID>107040285</MotionID>
            <JudicialPersonID>032061806@GOV.IL</JudicialPersonID>
            <JudicialPersonTypeID>1</JudicialPersonTypeID>
            <JudicialTypeID>1</JudicialTypeID>
            <IsChairman>false</IsChairman>
            <TreatmentStartDate>2024-01-23T13:34:15.51+02:00</TreatmentStartDate>
            <TreatmentFinishDate>9999-12-31T23:59:59.997+02:00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264331346</CasePartyID>
        <PartyTypeID>2</PartyTypeID>
        <ActivityStatusID>1</ActivityStatusID>
        <PartyAliasID>21</PartyAliasID>
        <PartyAliasName>בא כוח נתבעים</PartyAliasName>
        <LegalEntityID>75639001</LegalEntityID>
        <CaseLegalEntityID>127175265</CaseLegalEntityID>
        <AuthenticationTypeID>4</AuthenticationTypeID>
        <AuthenticationTypeName>מ.ר.</AuthenticationTypeName>
        <LegalEntityNumber>71914</LegalEntityNumber>
        <IsMainPartyType>true</IsMainPartyType>
        <CaseDisplayIdentifier>50669-07-23</CaseDisplayIdentifier>
        <CaseTypeID>15</CaseTypeID>
        <CaseTypeName>תיק משפחה (תמ"ש)</CaseTypeName>
        <CaseName>אונגר נ' לוין אונגר</CaseName>
        <FullAddress>יפו 216 ירושלים </FullAddress>
        <EmailAddress>sarit7r@gmail.com</EmailAddress>
        <MotionID>0</MotionID>
        <CasePleaID>0</CasePleaID>
        <LinkedCaseID>0</LinkedCaseID>
        <PartyID>2</PartyID>
        <CasePartyCategoryID>2</CasePartyCategoryID>
        <LegalEntityAddressID>78869275</LegalEntityAddressID>
        <LegalEntityEmailAddressID>67916027</LegalEntityEmailAddressID>
        <PleaTypeID>4</PleaTypeID>
        <LawyerOfficeName>שרית רחימי -עורכת דין</LawyerOfficeName>
        <LawyerOfficeID>75639002</LawyerOfficeID>
        <GroupPartyAlias/>
        <IsConverted>false</IsConverted>
        <LegalEntityNameID>82336594</LegalEntityNameID>
        <RepresentatedNamesOfAssistant/>
        <LegalEntityTypeID>4</LegalEntityTypeID>
        <IsVerdictExists>false</IsVerdictExists>
        <IsAsirAzir>false</IsAsirAzir>
        <IsPublicationProhibited>false</IsPublicationProhibited>
        <PublicationProhibitedFullName>שרית רחימי</PublicationProhibitedFullName>
      </CaseParties>
      <CaseParties>
        <PartyTypeName>צד</PartyTypeName>
        <ProceedingType>בקשות</ProceedingType>
        <PleaName>בקשה של נתבע 1 בקשה לדחייה על הסף</PleaName>
        <PartyBelonging>צד א'</PartyBelonging>
        <RoleName>מבקש 1</RoleName>
        <IsSubProceeding>TRUE</IsSubProceeding>
        <FullName>טליה לוין אונגר</FullName>
        <FirstName>טליה</FirstName>
        <LastName>לוין</LastName>
        <PartyPropertyName/>
        <AuthenticationTypeAndNumber>ת"ז 329761795</AuthenticationTypeAndNumber>
        <RepresentatedOrRepresentativesNames>שרית רחימי</RepresentatedOrRepresentativesNames>
        <RepresentatedOrRepresentativesCount>1</RepresentatedOrRepresentativesCount>
        <InvitedBy/>
        <CaseID>80450219</CaseID>
        <CaseJudicialPersonPresentationDS>
          <CaseJudicalPersonActive>
            <CaseID>80450219</CaseID>
            <MotionID>107040285</MotionID>
            <JudicialPersonID>032061806@GOV.IL</JudicialPersonID>
            <JudicialPersonTypeID>1</JudicialPersonTypeID>
            <JudicialTypeID>1</JudicialTypeID>
            <IsChairman>false</IsChairman>
            <TreatmentStartDate>2024-01-23T13:34:15.51+02:00</TreatmentStartDate>
            <TreatmentFinishDate>9999-12-31T23:59:59.997+02:00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265384586</CasePartyID>
        <PartyTypeID>1</PartyTypeID>
        <ActivityStatusID>1</ActivityStatusID>
        <PartyAliasID>3</PartyAliasID>
        <PartyAliasName>מבקש</PartyAliasName>
        <OrdinalNumber>1</OrdinalNumber>
        <LegalEntityID>74513936</LegalEntityID>
        <CaseLegalEntityID>125269398</CaseLegalEntityID>
        <AuthenticationTypeID>1</AuthenticationTypeID>
        <AuthenticationTypeName>ת"ז</AuthenticationTypeName>
        <LegalEntityNumber>329761795</LegalEntityNumber>
        <IsMainPartyType>false</IsMainPartyType>
        <CaseDisplayIdentifier>50669-07-23</CaseDisplayIdentifier>
        <CaseTypeID>15</CaseTypeID>
        <CaseTypeName>תיק משפחה (תמ"ש)</CaseTypeName>
        <CaseName>אונגר נ' לוין אונגר</CaseName>
        <FullAddress/>
        <MotionID>107040285</MotionID>
        <CasePleaID>0</CasePleaID>
        <FatherName>מואיז</FatherName>
        <LinkedCaseID>0</LinkedCaseID>
        <PartyID>1</PartyID>
        <CasePartyCategoryID>4</CasePartyCategoryID>
        <PleaTypeID>60</PleaTypeID>
        <GroupPartyAlias>מבקשים</GroupPartyAlias>
        <IsConverted>false</IsConverted>
        <LegalEntityRegisteredNameID>9304940</LegalEntityRegisteredNameID>
        <LegalEntityNameID>95213559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טליה לוין אונגר</PublicationProhibitedFullName>
      </CaseParties>
      <CaseParties>
        <PartyTypeName>צד</PartyTypeName>
        <ProceedingType>בקשות</ProceedingType>
        <PleaName>בקשה של נתבע 1 בקשה לדחייה על הסף</PleaName>
        <PartyBelonging>צד ב'</PartyBelonging>
        <RoleName>משיב 1</RoleName>
        <IsSubProceeding>TRUE</IsSubProceeding>
        <FullName>נתן אונגר</FullName>
        <FirstName>נתן אבישי</FirstName>
        <LastName>אונגר</LastName>
        <PartyPropertyName/>
        <AuthenticationTypeAndNumber>ת"ז 301063582</AuthenticationTypeAndNumber>
        <RepresentatedOrRepresentativesNames/>
        <RepresentatedOrRepresentativesCount>0</RepresentatedOrRepresentativesCount>
        <InvitedBy/>
        <CaseID>80450219</CaseID>
        <CaseJudicialPersonPresentationDS>
          <CaseJudicalPersonActive>
            <CaseID>80450219</CaseID>
            <MotionID>107040285</MotionID>
            <JudicialPersonID>032061806@GOV.IL</JudicialPersonID>
            <JudicialPersonTypeID>1</JudicialPersonTypeID>
            <JudicialTypeID>1</JudicialTypeID>
            <IsChairman>false</IsChairman>
            <TreatmentStartDate>2024-01-23T13:34:15.51+02:00</TreatmentStartDate>
            <TreatmentFinishDate>9999-12-31T23:59:59.997+02:00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265384587</CasePartyID>
        <PartyTypeID>1</PartyTypeID>
        <ActivityStatusID>1</ActivityStatusID>
        <PartyAliasID>4</PartyAliasID>
        <PartyAliasName>משיב</PartyAliasName>
        <OrdinalNumber>1</OrdinalNumber>
        <LegalEntityID>58093145</LegalEntityID>
        <CaseLegalEntityID>125269397</CaseLegalEntityID>
        <AuthenticationTypeID>1</AuthenticationTypeID>
        <AuthenticationTypeName>ת"ז</AuthenticationTypeName>
        <LegalEntityNumber>301063582</LegalEntityNumber>
        <IsMainPartyType>false</IsMainPartyType>
        <CaseDisplayIdentifier>50669-07-23</CaseDisplayIdentifier>
        <CaseTypeID>15</CaseTypeID>
        <CaseTypeName>תיק משפחה (תמ"ש)</CaseTypeName>
        <CaseName>אונגר נ' לוין אונגר</CaseName>
        <FullAddress>דרך החורש 75 ירושלים </FullAddress>
        <MotionID>107040285</MotionID>
        <CasePleaID>0</CasePleaID>
        <FatherName>יעקב</FatherName>
        <LinkedCaseID>0</LinkedCaseID>
        <PartyID>2</PartyID>
        <CasePartyCategoryID>4</CasePartyCategoryID>
        <LegalEntityAddressID>88200764</LegalEntityAddressID>
        <GrandfatherName/>
        <DrivingLicenseNumber>8667680</DrivingLicenseNumber>
        <PleaTypeID>60</PleaTypeID>
        <GroupPartyAlias>משיבים</GroupPartyAlias>
        <IsConverted>false</IsConverted>
        <LegalEntityRegisteredNameID>4787737</LegalEntityRegisteredNameID>
        <LegalEntityNameID>95213558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נתן אונגר</PublicationProhibitedFullName>
      </CaseParties>
    </CasePartiesSelectionDS>
    <DecisionName>החלטה</DecisionName>
    <CourtDisplayName>בית משפט לענייני משפחה בירושלים</CourtDisplayName>
    <IsCaseJudgePanel>false</IsCaseJudgePanel>
    <DecisionSignatureDate>2024-03-03T09:37:59.0981291+02:00</DecisionSignatureDate>
    <OpenCaseDate>2023-07-23T09:15:00+03:00</OpenCaseDate>
    <CaseFeeSum>38007.000</CaseFeeSum>
    <DecisionTypeID>1</DecisionTypeID>
    <DecisionSignatureUserName>אורית בן דור ליבל</DecisionSignatureUserName>
    <MotionID>107040285</MotionID>
    <DecisionSignatureDateHebrew>2024-03-03T09:37:59.0981291+02:00</DecisionSignatureDateHebrew>
    <MotionNumber>9</MotionNumber>
    <DecisionWriterID>032061806@GOV.IL</DecisionWriterID>
    <CourtAddress>רח' בית הדפוס 12, ירושלים 9548316</CourtAddress>
    <IsAutoTextInCaseExist>false</IsAutoTextInCaseExist>
    <DecisionSignatureRoleName>שופט</DecisionSignatureRoleName>
    <DecisionSignatureUserTitleName>שופטת</DecisionSignatureUserTitleName>
    <CaseName>אונגר נ' לוין אונגר</CaseName>
    <DecisionNumberInCase>9</DecisionNumberInCase>
  </dt_Decision>
  <dt_DecisionCase>
    <DecisionID>0</DecisionID>
    <CaseID>80450219</CaseID>
    <CaseJudicialPersonPresentationDS>
      <CaseJudicalPersonActive>
        <CaseID>80450219</CaseID>
        <MotionID>107040285</MotionID>
        <JudicialPersonID>032061806@GOV.IL</JudicialPersonID>
        <JudicialPersonTypeID>1</JudicialPersonTypeID>
        <JudicialTypeID>1</JudicialTypeID>
        <IsChairman>false</IsChairman>
        <TreatmentStartDate>2024-01-23T13:34:15.51+02:00</TreatmentStartDate>
        <TreatmentFinishDate>9999-12-31T23:59:59.997+02:00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שרית רחימי</FullName>
        <FirstName>שרית</FirstName>
        <LastName>רחימי</LastName>
        <PartyPropertyName/>
        <AuthenticationTypeAndNumber>מ.ר. 71914</AuthenticationTypeAndNumber>
        <RepresentatedOrRepresentativesNames>טליה לוין אונגר</RepresentatedOrRepresentativesNames>
        <RepresentatedOrRepresentativesCount>1</RepresentatedOrRepresentativesCount>
        <InvitedBy/>
        <CaseID>80450219</CaseID>
        <CaseJudicialPersonPresentationDS>
          <CaseJudicalPersonActive>
            <CaseID>80450219</CaseID>
            <MotionID>107040285</MotionID>
            <JudicialPersonID>032061806@GOV.IL</JudicialPersonID>
            <JudicialPersonTypeID>1</JudicialPersonTypeID>
            <JudicialTypeID>1</JudicialTypeID>
            <IsChairman>false</IsChairman>
            <TreatmentStartDate>2024-01-23T13:34:15.51+02:00</TreatmentStartDate>
            <TreatmentFinishDate>9999-12-31T23:59:59.997+02:00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264331346</CasePartyID>
        <PartyTypeID>2</PartyTypeID>
        <ActivityStatusID>1</ActivityStatusID>
        <PartyAliasID>21</PartyAliasID>
        <PartyAliasName>בא כוח נתבעים</PartyAliasName>
        <LegalEntityID>75639001</LegalEntityID>
        <CaseLegalEntityID>127175265</CaseLegalEntityID>
        <AuthenticationTypeID>4</AuthenticationTypeID>
        <AuthenticationTypeName>מ.ר.</AuthenticationTypeName>
        <LegalEntityNumber>71914</LegalEntityNumber>
        <IsMainPartyType>true</IsMainPartyType>
        <CaseDisplayIdentifier>50669-07-23</CaseDisplayIdentifier>
        <CaseTypeID>15</CaseTypeID>
        <CaseTypeName>תיק משפחה (תמ"ש)</CaseTypeName>
        <CaseName>אונגר נ' לוין אונגר</CaseName>
        <FullAddress>יפו 216 ירושלים </FullAddress>
        <EmailAddress>sarit7r@gmail.com</EmailAddress>
        <MotionID>0</MotionID>
        <CasePleaID>0</CasePleaID>
        <LinkedCaseID>0</LinkedCaseID>
        <PartyID>2</PartyID>
        <CasePartyCategoryID>2</CasePartyCategoryID>
        <LegalEntityAddressID>78869275</LegalEntityAddressID>
        <LegalEntityEmailAddressID>67916027</LegalEntityEmailAddressID>
        <PleaTypeID>4</PleaTypeID>
        <LawyerOfficeName>שרית רחימי -עורכת דין</LawyerOfficeName>
        <LawyerOfficeID>75639002</LawyerOfficeID>
        <GroupPartyAlias/>
        <IsConverted>false</IsConverted>
        <LegalEntityNameID>82336594</LegalEntityNameID>
        <RepresentatedNamesOfAssistant/>
        <LegalEntityTypeID>4</LegalEntityTypeID>
        <IsVerdictExists>false</IsVerdictExists>
        <IsAsirAzir>false</IsAsirAzir>
        <IsPublicationProhibited>false</IsPublicationProhibited>
        <PublicationProhibitedFullName>שרית רחימי</PublicationProhibitedFullName>
      </CaseParties>
      <CaseParties>
        <PartyTypeName>צד</PartyTypeName>
        <ProceedingType>בקשות</ProceedingType>
        <PleaName>בקשה של נתבע 1 בקשה לדחייה על הסף</PleaName>
        <PartyBelonging>צד א'</PartyBelonging>
        <RoleName>מבקש 1</RoleName>
        <IsSubProceeding>TRUE</IsSubProceeding>
        <FullName>טליה לוין אונגר</FullName>
        <FirstName>טליה</FirstName>
        <LastName>לוין</LastName>
        <PartyPropertyName/>
        <AuthenticationTypeAndNumber>ת"ז 329761795</AuthenticationTypeAndNumber>
        <RepresentatedOrRepresentativesNames>שרית רחימי</RepresentatedOrRepresentativesNames>
        <RepresentatedOrRepresentativesCount>1</RepresentatedOrRepresentativesCount>
        <InvitedBy/>
        <CaseID>80450219</CaseID>
        <CaseJudicialPersonPresentationDS>
          <CaseJudicalPersonActive>
            <CaseID>80450219</CaseID>
            <MotionID>107040285</MotionID>
            <JudicialPersonID>032061806@GOV.IL</JudicialPersonID>
            <JudicialPersonTypeID>1</JudicialPersonTypeID>
            <JudicialTypeID>1</JudicialTypeID>
            <IsChairman>false</IsChairman>
            <TreatmentStartDate>2024-01-23T13:34:15.51+02:00</TreatmentStartDate>
            <TreatmentFinishDate>9999-12-31T23:59:59.997+02:00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265384586</CasePartyID>
        <PartyTypeID>1</PartyTypeID>
        <ActivityStatusID>1</ActivityStatusID>
        <PartyAliasID>3</PartyAliasID>
        <PartyAliasName>מבקש</PartyAliasName>
        <OrdinalNumber>1</OrdinalNumber>
        <LegalEntityID>74513936</LegalEntityID>
        <CaseLegalEntityID>125269398</CaseLegalEntityID>
        <AuthenticationTypeID>1</AuthenticationTypeID>
        <AuthenticationTypeName>ת"ז</AuthenticationTypeName>
        <LegalEntityNumber>329761795</LegalEntityNumber>
        <IsMainPartyType>false</IsMainPartyType>
        <CaseDisplayIdentifier>50669-07-23</CaseDisplayIdentifier>
        <CaseTypeID>15</CaseTypeID>
        <CaseTypeName>תיק משפחה (תמ"ש)</CaseTypeName>
        <CaseName>אונגר נ' לוין אונגר</CaseName>
        <FullAddress/>
        <MotionID>107040285</MotionID>
        <CasePleaID>0</CasePleaID>
        <FatherName>מואיז</FatherName>
        <LinkedCaseID>0</LinkedCaseID>
        <PartyID>1</PartyID>
        <CasePartyCategoryID>4</CasePartyCategoryID>
        <PleaTypeID>60</PleaTypeID>
        <GroupPartyAlias>מבקשים</GroupPartyAlias>
        <IsConverted>false</IsConverted>
        <LegalEntityRegisteredNameID>9304940</LegalEntityRegisteredNameID>
        <LegalEntityNameID>95213559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טליה לוין אונגר</PublicationProhibitedFullName>
      </CaseParties>
      <CaseParties>
        <PartyTypeName>צד</PartyTypeName>
        <ProceedingType>בקשות</ProceedingType>
        <PleaName>בקשה של נתבע 1 בקשה לדחייה על הסף</PleaName>
        <PartyBelonging>צד ב'</PartyBelonging>
        <RoleName>משיב 1</RoleName>
        <IsSubProceeding>TRUE</IsSubProceeding>
        <FullName>נתן אונגר</FullName>
        <FirstName>נתן אבישי</FirstName>
        <LastName>אונגר</LastName>
        <PartyPropertyName/>
        <AuthenticationTypeAndNumber>ת"ז 301063582</AuthenticationTypeAndNumber>
        <RepresentatedOrRepresentativesNames/>
        <RepresentatedOrRepresentativesCount>0</RepresentatedOrRepresentativesCount>
        <InvitedBy/>
        <CaseID>80450219</CaseID>
        <CaseJudicialPersonPresentationDS>
          <CaseJudicalPersonActive>
            <CaseID>80450219</CaseID>
            <MotionID>107040285</MotionID>
            <JudicialPersonID>032061806@GOV.IL</JudicialPersonID>
            <JudicialPersonTypeID>1</JudicialPersonTypeID>
            <JudicialTypeID>1</JudicialTypeID>
            <IsChairman>false</IsChairman>
            <TreatmentStartDate>2024-01-23T13:34:15.51+02:00</TreatmentStartDate>
            <TreatmentFinishDate>9999-12-31T23:59:59.997+02:00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265384587</CasePartyID>
        <PartyTypeID>1</PartyTypeID>
        <ActivityStatusID>1</ActivityStatusID>
        <PartyAliasID>4</PartyAliasID>
        <PartyAliasName>משיב</PartyAliasName>
        <OrdinalNumber>1</OrdinalNumber>
        <LegalEntityID>58093145</LegalEntityID>
        <CaseLegalEntityID>125269397</CaseLegalEntityID>
        <AuthenticationTypeID>1</AuthenticationTypeID>
        <AuthenticationTypeName>ת"ז</AuthenticationTypeName>
        <LegalEntityNumber>301063582</LegalEntityNumber>
        <IsMainPartyType>false</IsMainPartyType>
        <CaseDisplayIdentifier>50669-07-23</CaseDisplayIdentifier>
        <CaseTypeID>15</CaseTypeID>
        <CaseTypeName>תיק משפחה (תמ"ש)</CaseTypeName>
        <CaseName>אונגר נ' לוין אונגר</CaseName>
        <FullAddress>דרך החורש 75 ירושלים </FullAddress>
        <MotionID>107040285</MotionID>
        <CasePleaID>0</CasePleaID>
        <FatherName>יעקב</FatherName>
        <LinkedCaseID>0</LinkedCaseID>
        <PartyID>2</PartyID>
        <CasePartyCategoryID>4</CasePartyCategoryID>
        <LegalEntityAddressID>88200764</LegalEntityAddressID>
        <GrandfatherName/>
        <DrivingLicenseNumber>8667680</DrivingLicenseNumber>
        <PleaTypeID>60</PleaTypeID>
        <GroupPartyAlias>משיבים</GroupPartyAlias>
        <IsConverted>false</IsConverted>
        <LegalEntityRegisteredNameID>4787737</LegalEntityRegisteredNameID>
        <LegalEntityNameID>95213558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נתן אונגר</PublicationProhibitedFullName>
      </CaseParties>
    </CasePartiesSelectionDS>
    <CaseName>אונגר נ' לוין אונגר</CaseName>
    <CaseDisplayIdentifier>50669-07-23</CaseDisplayIdentifier>
    <CaseInterestID>10512</CaseInterestID>
    <CaseTypeShortName>תמ"ש</CaseTypeShortName>
  </dt_DecisionCase>
  <dt_DecisionJudgePanel>
    <JudgeID>032061806@GOV.IL</JudgeID>
    <DisplayName>אורית בן דור ליבל</DisplayName>
    <RoleName>שופט</RoleName>
    <UserTitleName>שופטת</UserTitleName>
  </dt_DecisionJudgePanel>
  <dt_LegalEntityDetails>
    <Fax>02-5319001</Fax>
    <Phone>02-5319000</Phone>
    <PartyID>2</PartyID>
    <PartyTypeID>2</PartyTypeID>
    <DecisionID>0</DecisionID>
    <StreetName>יפו 216</StreetName>
    <CityName>ירושלים</CityName>
    <FullName>שרית רחימי</FullName>
    <Email>sarit7r@gmail.com</Email>
    <IsPublicationProhibited>false</IsPublicationProhibited>
  </dt_LegalEntityDetails>
  <dt_LegalEntityDetails>
    <PartyID>1</PartyID>
    <PartyTypeID>1</PartyTypeID>
    <DecisionID>0</DecisionID>
    <StreetName>דרך החורש 75</StreetName>
    <CityName>ירושלים</CityName>
    <FullName>נתן אונגר</FullName>
    <IsPublicationProhibited>false</IsPublicationProhibited>
  </dt_LegalEntityDetails>
  <dt_LegalEntityDetails>
    <PartyID>2</PartyID>
    <PartyTypeID>1</PartyTypeID>
    <DecisionID>0</DecisionID>
    <FullName>טליה  לוין אונגר</FullName>
    <IsPublicationProhibited>false</IsPublicationProhibited>
  </dt_LegalEntityDetails>
  <dt_CaseJudicalPersonActive>
    <CaseJudicalPerson>שופטת אורית בן דור ליבל</CaseJudicalPerson>
  </dt_CaseJudicalPersonActive>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C65E1A-B8D9-40E8-BD6F-ACB80301D878}">
  <ds:schemaRefs/>
</ds:datastoreItem>
</file>

<file path=customXml/itemProps2.xml><?xml version="1.0" encoding="utf-8"?>
<ds:datastoreItem xmlns:ds="http://schemas.openxmlformats.org/officeDocument/2006/customXml" ds:itemID="{CB6729A6-318E-4809-B04B-0BEFFC4E67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1391</Words>
  <Characters>6959</Characters>
  <Application>Microsoft Office Word</Application>
  <DocSecurity>0</DocSecurity>
  <Lines>57</Lines>
  <Paragraphs>16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8334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2024-08-01T05:37:00Z</dcterms:created>
  <dcterms:modified xsi:type="dcterms:W3CDTF">2024-08-01T05:37:00Z</dcterms:modified>
</cp:coreProperties>
</file>